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DC8A4" w14:textId="2D9F900E" w:rsidR="00F43B93" w:rsidRPr="000600CE" w:rsidRDefault="00F43B93" w:rsidP="00F43B93">
      <w:pPr>
        <w:spacing w:after="0" w:line="240" w:lineRule="auto"/>
        <w:ind w:left="6521"/>
        <w:jc w:val="both"/>
        <w:rPr>
          <w:rFonts w:ascii="Times New Roman" w:hAnsi="Times New Roman" w:cs="Times New Roman"/>
          <w:sz w:val="20"/>
          <w:szCs w:val="20"/>
        </w:rPr>
      </w:pPr>
      <w:r w:rsidRPr="000600CE">
        <w:rPr>
          <w:rFonts w:ascii="Times New Roman" w:hAnsi="Times New Roman" w:cs="Times New Roman"/>
          <w:sz w:val="20"/>
          <w:szCs w:val="20"/>
        </w:rPr>
        <w:t>Приложение 8</w:t>
      </w:r>
      <w:r w:rsidR="00EA53A1">
        <w:rPr>
          <w:rFonts w:ascii="Times New Roman" w:hAnsi="Times New Roman" w:cs="Times New Roman"/>
          <w:sz w:val="20"/>
          <w:szCs w:val="20"/>
        </w:rPr>
        <w:t>б</w:t>
      </w:r>
    </w:p>
    <w:p w14:paraId="1767017D" w14:textId="77777777" w:rsidR="00F43B93" w:rsidRPr="000600CE" w:rsidRDefault="00F43B93" w:rsidP="00F43B93">
      <w:pPr>
        <w:spacing w:after="0" w:line="240" w:lineRule="auto"/>
        <w:ind w:left="6521"/>
        <w:jc w:val="both"/>
        <w:rPr>
          <w:rFonts w:ascii="Times New Roman" w:hAnsi="Times New Roman" w:cs="Times New Roman"/>
          <w:sz w:val="20"/>
          <w:szCs w:val="20"/>
        </w:rPr>
      </w:pPr>
      <w:r w:rsidRPr="000600CE">
        <w:rPr>
          <w:rFonts w:ascii="Times New Roman" w:hAnsi="Times New Roman" w:cs="Times New Roman"/>
          <w:sz w:val="20"/>
          <w:szCs w:val="20"/>
        </w:rPr>
        <w:t>к Положению 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00CE">
        <w:rPr>
          <w:rFonts w:ascii="Times New Roman" w:hAnsi="Times New Roman" w:cs="Times New Roman"/>
          <w:sz w:val="20"/>
          <w:szCs w:val="20"/>
        </w:rPr>
        <w:t>технологическом присоединении энергетических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00CE">
        <w:rPr>
          <w:rFonts w:ascii="Times New Roman" w:hAnsi="Times New Roman" w:cs="Times New Roman"/>
          <w:sz w:val="20"/>
          <w:szCs w:val="20"/>
        </w:rPr>
        <w:t xml:space="preserve">установок  к электрическим сетям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0600CE">
        <w:rPr>
          <w:rFonts w:ascii="Times New Roman" w:hAnsi="Times New Roman" w:cs="Times New Roman"/>
          <w:sz w:val="20"/>
          <w:szCs w:val="20"/>
        </w:rPr>
        <w:t>АО «МРСК Северного Кавказа», управляемых Обществ</w:t>
      </w:r>
    </w:p>
    <w:p w14:paraId="722379DB" w14:textId="77777777" w:rsidR="00512944" w:rsidRDefault="00512944" w:rsidP="00512944">
      <w:pPr>
        <w:spacing w:before="48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ТИПОВАЯ ФОРМА</w:t>
      </w:r>
      <w:bookmarkStart w:id="0" w:name="_GoBack"/>
      <w:bookmarkEnd w:id="0"/>
    </w:p>
    <w:p w14:paraId="5606BE71" w14:textId="77777777" w:rsidR="00512944" w:rsidRDefault="00512944" w:rsidP="00512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4678"/>
        <w:gridCol w:w="284"/>
        <w:gridCol w:w="4961"/>
      </w:tblGrid>
      <w:tr w:rsidR="00512944" w:rsidRPr="005A0806" w14:paraId="37F7A6F0" w14:textId="77777777" w:rsidTr="006E4B43">
        <w:tc>
          <w:tcPr>
            <w:tcW w:w="4678" w:type="dxa"/>
          </w:tcPr>
          <w:p w14:paraId="5BC4E6DE" w14:textId="77777777" w:rsidR="00512944" w:rsidRPr="005A0806" w:rsidRDefault="00512944" w:rsidP="006E4B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aps/>
                <w:color w:val="000000"/>
                <w:sz w:val="28"/>
                <w:szCs w:val="28"/>
                <w:lang w:eastAsia="ru-RU"/>
              </w:rPr>
            </w:pPr>
            <w:r w:rsidRPr="005A0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284" w:type="dxa"/>
          </w:tcPr>
          <w:p w14:paraId="2BD9A91E" w14:textId="77777777" w:rsidR="00512944" w:rsidRPr="005A0806" w:rsidRDefault="00512944" w:rsidP="006E4B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14:paraId="5839AEE7" w14:textId="77777777" w:rsidR="00512944" w:rsidRPr="005A0806" w:rsidRDefault="00512944" w:rsidP="006E4B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color w:val="000000"/>
                <w:sz w:val="28"/>
                <w:szCs w:val="28"/>
                <w:lang w:eastAsia="ru-RU"/>
              </w:rPr>
            </w:pPr>
            <w:r w:rsidRPr="005A0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УТВЕРЖДАЮ</w:t>
            </w:r>
          </w:p>
        </w:tc>
      </w:tr>
      <w:tr w:rsidR="00512944" w:rsidRPr="005A0806" w14:paraId="6685A980" w14:textId="77777777" w:rsidTr="006E4B43">
        <w:tc>
          <w:tcPr>
            <w:tcW w:w="4678" w:type="dxa"/>
          </w:tcPr>
          <w:p w14:paraId="32CC28EB" w14:textId="77777777" w:rsidR="00512944" w:rsidRPr="005A0806" w:rsidRDefault="00512944" w:rsidP="006E4B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0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«СО ЕЭС»</w:t>
            </w:r>
          </w:p>
        </w:tc>
        <w:tc>
          <w:tcPr>
            <w:tcW w:w="284" w:type="dxa"/>
          </w:tcPr>
          <w:p w14:paraId="5D4A9024" w14:textId="77777777" w:rsidR="00512944" w:rsidRPr="005A0806" w:rsidRDefault="00512944" w:rsidP="006E4B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14:paraId="1088ADF1" w14:textId="77777777" w:rsidR="00512944" w:rsidRPr="005A0806" w:rsidRDefault="00512944" w:rsidP="006E4B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ДЗО ПАО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Россети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»</w:t>
            </w:r>
          </w:p>
        </w:tc>
      </w:tr>
      <w:tr w:rsidR="00512944" w:rsidRPr="005A0806" w14:paraId="58D70BE7" w14:textId="77777777" w:rsidTr="006E4B43">
        <w:tc>
          <w:tcPr>
            <w:tcW w:w="4678" w:type="dxa"/>
          </w:tcPr>
          <w:p w14:paraId="30C4811F" w14:textId="77777777" w:rsidR="00512944" w:rsidRPr="005A0806" w:rsidRDefault="00512944" w:rsidP="006E4B4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0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</w:tc>
        <w:tc>
          <w:tcPr>
            <w:tcW w:w="284" w:type="dxa"/>
          </w:tcPr>
          <w:p w14:paraId="7D9A5222" w14:textId="77777777" w:rsidR="00512944" w:rsidRPr="005A0806" w:rsidRDefault="00512944" w:rsidP="006E4B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14:paraId="244DD452" w14:textId="77777777" w:rsidR="00512944" w:rsidRPr="005A0806" w:rsidRDefault="00512944" w:rsidP="006E4B43">
            <w:pPr>
              <w:widowControl w:val="0"/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0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</w:t>
            </w:r>
          </w:p>
        </w:tc>
      </w:tr>
      <w:tr w:rsidR="00512944" w:rsidRPr="005A0806" w14:paraId="0116299D" w14:textId="77777777" w:rsidTr="006E4B43">
        <w:tc>
          <w:tcPr>
            <w:tcW w:w="4678" w:type="dxa"/>
          </w:tcPr>
          <w:p w14:paraId="4CF08D03" w14:textId="77777777" w:rsidR="00512944" w:rsidRPr="005A0806" w:rsidRDefault="00512944" w:rsidP="006E4B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84" w:type="dxa"/>
          </w:tcPr>
          <w:p w14:paraId="435E7BBD" w14:textId="77777777" w:rsidR="00512944" w:rsidRPr="005A0806" w:rsidRDefault="00512944" w:rsidP="006E4B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61" w:type="dxa"/>
          </w:tcPr>
          <w:p w14:paraId="1ABDDEB9" w14:textId="77777777" w:rsidR="00512944" w:rsidRPr="005A0806" w:rsidRDefault="00512944" w:rsidP="006E4B43">
            <w:pPr>
              <w:widowControl w:val="0"/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</w:tr>
      <w:tr w:rsidR="00512944" w:rsidRPr="005A0806" w14:paraId="683733B1" w14:textId="77777777" w:rsidTr="006E4B43">
        <w:tc>
          <w:tcPr>
            <w:tcW w:w="4678" w:type="dxa"/>
          </w:tcPr>
          <w:p w14:paraId="4A472DAC" w14:textId="77777777" w:rsidR="00512944" w:rsidRPr="005A0806" w:rsidRDefault="00512944" w:rsidP="006E4B4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0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 /____________/</w:t>
            </w:r>
          </w:p>
        </w:tc>
        <w:tc>
          <w:tcPr>
            <w:tcW w:w="284" w:type="dxa"/>
          </w:tcPr>
          <w:p w14:paraId="27AFFDD2" w14:textId="77777777" w:rsidR="00512944" w:rsidRPr="005A0806" w:rsidRDefault="00512944" w:rsidP="006E4B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14:paraId="25A93A88" w14:textId="77777777" w:rsidR="00512944" w:rsidRPr="005A0806" w:rsidRDefault="00512944" w:rsidP="006E4B43">
            <w:pPr>
              <w:widowControl w:val="0"/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0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 /__________/</w:t>
            </w:r>
          </w:p>
        </w:tc>
      </w:tr>
      <w:tr w:rsidR="00512944" w:rsidRPr="005A0806" w14:paraId="50AFD761" w14:textId="77777777" w:rsidTr="006E4B43">
        <w:trPr>
          <w:trHeight w:val="202"/>
        </w:trPr>
        <w:tc>
          <w:tcPr>
            <w:tcW w:w="4678" w:type="dxa"/>
          </w:tcPr>
          <w:p w14:paraId="28C707A9" w14:textId="77777777" w:rsidR="00512944" w:rsidRPr="005A0806" w:rsidRDefault="00512944" w:rsidP="006E4B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(подпись, Ф.И.О.)</w:t>
            </w:r>
          </w:p>
        </w:tc>
        <w:tc>
          <w:tcPr>
            <w:tcW w:w="284" w:type="dxa"/>
          </w:tcPr>
          <w:p w14:paraId="767DA99F" w14:textId="77777777" w:rsidR="00512944" w:rsidRPr="005A0806" w:rsidRDefault="00512944" w:rsidP="006E4B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61" w:type="dxa"/>
          </w:tcPr>
          <w:p w14:paraId="4DE120B0" w14:textId="77777777" w:rsidR="00512944" w:rsidRPr="005A0806" w:rsidRDefault="00512944" w:rsidP="006E4B43">
            <w:pPr>
              <w:widowControl w:val="0"/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0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(подпись, Ф.И.О.)</w:t>
            </w:r>
          </w:p>
        </w:tc>
      </w:tr>
      <w:tr w:rsidR="00512944" w:rsidRPr="005A0806" w14:paraId="30C93F5B" w14:textId="77777777" w:rsidTr="006E4B43">
        <w:tc>
          <w:tcPr>
            <w:tcW w:w="4678" w:type="dxa"/>
          </w:tcPr>
          <w:p w14:paraId="04E67D1B" w14:textId="77777777" w:rsidR="00512944" w:rsidRPr="005A0806" w:rsidRDefault="00512944" w:rsidP="006E4B4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0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«___» _______________ 20___г.</w:t>
            </w:r>
          </w:p>
        </w:tc>
        <w:tc>
          <w:tcPr>
            <w:tcW w:w="284" w:type="dxa"/>
          </w:tcPr>
          <w:p w14:paraId="195A389F" w14:textId="77777777" w:rsidR="00512944" w:rsidRPr="005A0806" w:rsidRDefault="00512944" w:rsidP="006E4B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14:paraId="353AEE00" w14:textId="77777777" w:rsidR="00512944" w:rsidRPr="005A0806" w:rsidRDefault="00512944" w:rsidP="006E4B43">
            <w:pPr>
              <w:widowControl w:val="0"/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0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«___» _______________ 20___г.</w:t>
            </w:r>
            <w:r w:rsidRPr="005A0806" w:rsidDel="00F4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3390593B" w14:textId="77777777" w:rsidR="00512944" w:rsidRPr="005A0806" w:rsidRDefault="00512944" w:rsidP="00512944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BBF7BD" w14:textId="77777777" w:rsidR="00512944" w:rsidRDefault="00512944" w:rsidP="00512944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1D1BD631" w14:textId="77777777" w:rsidR="00512944" w:rsidRPr="00A554AA" w:rsidRDefault="00512944" w:rsidP="00512944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4FF4E90C" w14:textId="77777777" w:rsidR="00512944" w:rsidRPr="009D2F95" w:rsidRDefault="00512944" w:rsidP="00512944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ТЕХНИЧЕСКИЕ УСЛОВИЯ</w:t>
      </w:r>
      <w:r w:rsidRPr="009D2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  <w:footnoteReference w:id="2"/>
      </w:r>
      <w:r w:rsidRPr="009D2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технологическое присоединение</w:t>
      </w:r>
      <w:r w:rsidRPr="009D2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к электрическим сетям </w:t>
      </w:r>
      <w:r w:rsidRPr="009D2F9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</w:t>
      </w:r>
      <w:r w:rsidRPr="009D2F9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 ПАО «</w:t>
      </w:r>
      <w:proofErr w:type="spellStart"/>
      <w:r w:rsidRPr="009D2F9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Россети</w:t>
      </w:r>
      <w:proofErr w:type="spellEnd"/>
      <w:r w:rsidRPr="009D2F9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</w:p>
    <w:p w14:paraId="019D43A3" w14:textId="77777777" w:rsidR="00512944" w:rsidRPr="009D2F95" w:rsidRDefault="00512944" w:rsidP="00512944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2F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(для объектов по производству электрической энергии,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максимальная</w:t>
      </w:r>
      <w:r w:rsidRPr="009D2F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генерирующая мощность которых превышает 5 МВт или увеличивается на 5 МВт и выше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за исключением ветроэнергетических установок и фотоэлектрических солнечных модулей</w:t>
      </w:r>
      <w:r w:rsidRPr="009D2F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Pr="009D2F95">
        <w:rPr>
          <w:rStyle w:val="a7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footnoteReference w:id="3"/>
      </w:r>
    </w:p>
    <w:p w14:paraId="09386244" w14:textId="77777777" w:rsidR="00512944" w:rsidRPr="009D2F95" w:rsidRDefault="00512944" w:rsidP="00512944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1E77F6" w14:textId="77777777" w:rsidR="00512944" w:rsidRPr="009D2F95" w:rsidRDefault="00512944" w:rsidP="00512944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Настоящие технические условия разработаны на основании Заявки от _____________ № _____________ и являются неотъемлемой частью Договора об осуществлении технологического присоединения от _____________ № _____________ </w:t>
      </w:r>
      <w:r w:rsidRPr="009D2F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объектов по производству электрической энергии</w:t>
      </w: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</w:t>
      </w:r>
      <w:r w:rsidRPr="0099313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footnoteReference w:id="4"/>
      </w: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именуемого в дальнейшем – Заявитель, к электрическим сетям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ДЗО ПАО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Россети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2ECF29E" w14:textId="77777777" w:rsidR="00512944" w:rsidRPr="009D2F95" w:rsidRDefault="00512944" w:rsidP="00512944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Настоящие технические условия вступают в силу с момента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заключения </w:t>
      </w:r>
      <w:r w:rsidRPr="008A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 об осуществлении технологического присоединения</w:t>
      </w: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313D">
        <w:rPr>
          <w:rFonts w:ascii="Times New Roman" w:hAnsi="Times New Roman" w:cs="Times New Roman"/>
          <w:color w:val="000000"/>
          <w:sz w:val="28"/>
          <w:szCs w:val="28"/>
        </w:rPr>
        <w:t>при условии согласования АО «СО ЕЭС»</w:t>
      </w: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313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действительны в течение</w:t>
      </w:r>
      <w:proofErr w:type="gramStart"/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___(__________) </w:t>
      </w:r>
      <w:proofErr w:type="gramEnd"/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лет.</w:t>
      </w:r>
    </w:p>
    <w:p w14:paraId="67247C40" w14:textId="77777777" w:rsidR="00512944" w:rsidRPr="009D2F95" w:rsidRDefault="00512944" w:rsidP="00512944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настоящих технических условий обеспечивает технологическое присоединение вновь сооружаемых (реконструируемых)</w:t>
      </w:r>
      <w:r w:rsidRPr="0099313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footnoteReference w:id="5"/>
      </w: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процессе технологического присоединения объектов по производству электрической энергии Заявителя установленной (максимальной) мощностью __________ МВт</w:t>
      </w:r>
      <w:r w:rsidRPr="009D2F95">
        <w:rPr>
          <w:rStyle w:val="a7"/>
          <w:rFonts w:ascii="Times New Roman" w:eastAsia="Times New Roman" w:hAnsi="Times New Roman"/>
          <w:color w:val="000000"/>
          <w:sz w:val="28"/>
          <w:szCs w:val="28"/>
          <w:lang w:eastAsia="ru-RU"/>
        </w:rPr>
        <w:footnoteReference w:id="6"/>
      </w: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(установленная (максимальная) мощность ____________</w:t>
      </w:r>
      <w:r w:rsidRPr="009D2F95">
        <w:rPr>
          <w:rStyle w:val="a7"/>
          <w:rFonts w:ascii="Times New Roman" w:eastAsia="Times New Roman" w:hAnsi="Times New Roman"/>
          <w:color w:val="000000"/>
          <w:sz w:val="28"/>
          <w:szCs w:val="28"/>
          <w:lang w:eastAsia="ru-RU"/>
        </w:rPr>
        <w:footnoteReference w:id="7"/>
      </w: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осуществления технологического присоединения</w:t>
      </w:r>
      <w:r w:rsidRPr="009D2F95" w:rsidDel="00AC1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увеличится с </w:t>
      </w: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_____МВт до ____ МВт</w:t>
      </w:r>
      <w:r w:rsidRPr="009D2F95">
        <w:rPr>
          <w:rStyle w:val="a7"/>
          <w:rFonts w:ascii="Times New Roman" w:eastAsia="Times New Roman" w:hAnsi="Times New Roman"/>
          <w:color w:val="000000"/>
          <w:sz w:val="28"/>
          <w:szCs w:val="28"/>
          <w:lang w:eastAsia="ru-RU"/>
        </w:rPr>
        <w:footnoteReference w:id="8"/>
      </w: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объектов электросетевого хозяйства Заявителя:</w:t>
      </w:r>
    </w:p>
    <w:p w14:paraId="7DBF8FD1" w14:textId="77777777" w:rsidR="00512944" w:rsidRPr="009D2F95" w:rsidRDefault="00512944" w:rsidP="00512944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образованием после выполнения настоящих технических условий __ (____)</w:t>
      </w:r>
      <w:r w:rsidRPr="0099313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footnoteReference w:id="9"/>
      </w: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точек присоединения со следующим заявляемым распределением максимальной мощности (указанное распределение максимальной мощности по точкам присоединения является условным, фактическое распределение максимальной мощности может отличаться от указанного в зависимости от режима работы энергосистемы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B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объектов генерации и объектов электросетевого хозяйства Заявителей</w:t>
      </w: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D2F95"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F95"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10"/>
      </w: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14:paraId="38FD4CB2" w14:textId="77777777" w:rsidR="00512944" w:rsidRPr="009D2F95" w:rsidRDefault="00512944" w:rsidP="00512944">
      <w:pPr>
        <w:pStyle w:val="a4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3D">
        <w:rPr>
          <w:rFonts w:ascii="Times New Roman" w:hAnsi="Times New Roman" w:cs="Times New Roman"/>
          <w:sz w:val="28"/>
          <w:szCs w:val="28"/>
        </w:rPr>
        <w:t xml:space="preserve">____ </w:t>
      </w:r>
      <w:r w:rsidRPr="009D2F95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максимальной мощностью ___ МВт;</w:t>
      </w:r>
    </w:p>
    <w:p w14:paraId="68742799" w14:textId="77777777" w:rsidR="00512944" w:rsidRPr="009D2F95" w:rsidRDefault="00512944" w:rsidP="00512944">
      <w:pPr>
        <w:pStyle w:val="a4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F95">
        <w:rPr>
          <w:rFonts w:ascii="Times New Roman" w:eastAsia="Times New Roman" w:hAnsi="Times New Roman" w:cs="Times New Roman"/>
          <w:sz w:val="28"/>
          <w:szCs w:val="28"/>
          <w:lang w:eastAsia="ru-RU"/>
        </w:rPr>
        <w:t>____ с максимальной мощностью ___ МВт;</w:t>
      </w:r>
    </w:p>
    <w:p w14:paraId="4B1FF7BE" w14:textId="77777777" w:rsidR="00512944" w:rsidRPr="009D2F95" w:rsidRDefault="00512944" w:rsidP="00512944">
      <w:pPr>
        <w:pStyle w:val="a4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F95">
        <w:rPr>
          <w:rFonts w:ascii="Times New Roman" w:eastAsia="Times New Roman" w:hAnsi="Times New Roman" w:cs="Times New Roman"/>
          <w:sz w:val="28"/>
          <w:szCs w:val="28"/>
          <w:lang w:eastAsia="ru-RU"/>
        </w:rPr>
        <w:t>____ с максимальной мощностью ___ МВт.</w:t>
      </w:r>
    </w:p>
    <w:p w14:paraId="247001BA" w14:textId="77777777" w:rsidR="00512944" w:rsidRPr="009D2F95" w:rsidRDefault="00512944" w:rsidP="00512944">
      <w:pPr>
        <w:pStyle w:val="a4"/>
        <w:widowControl w:val="0"/>
        <w:numPr>
          <w:ilvl w:val="0"/>
          <w:numId w:val="28"/>
        </w:numPr>
        <w:autoSpaceDE w:val="0"/>
        <w:autoSpaceDN w:val="0"/>
        <w:adjustRightInd w:val="0"/>
        <w:spacing w:before="360" w:after="120" w:line="240" w:lineRule="auto"/>
        <w:ind w:left="357" w:hanging="357"/>
        <w:contextualSpacing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13D">
        <w:rPr>
          <w:rFonts w:ascii="Times New Roman" w:hAnsi="Times New Roman" w:cs="Times New Roman"/>
          <w:color w:val="000000"/>
          <w:sz w:val="28"/>
          <w:szCs w:val="28"/>
        </w:rPr>
        <w:t>МЕРОПРИЯТИЯ ПО ОСНОВНОМУ (ПЕРВИЧНОМУ) ЭЛЕКТРОТЕХНИЧЕСКОМУ ОБОРУДОВАНИЮ</w:t>
      </w:r>
      <w:r w:rsidRPr="009D2F95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footnoteReference w:id="11"/>
      </w:r>
    </w:p>
    <w:p w14:paraId="77FEFDE8" w14:textId="77777777" w:rsidR="00512944" w:rsidRPr="009D2F95" w:rsidRDefault="00512944" w:rsidP="00512944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в сроки, устанавливаемые Договором об осуществлении технологического присоединения, но не позднее окончания срока действия настоящих технических условий (пояснительная схема прилагается):</w:t>
      </w:r>
    </w:p>
    <w:p w14:paraId="0C5F961C" w14:textId="77777777" w:rsidR="00512944" w:rsidRPr="009D2F95" w:rsidRDefault="00512944" w:rsidP="00512944">
      <w:pPr>
        <w:pStyle w:val="a4"/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1418" w:hanging="709"/>
        <w:contextualSpacing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_________________________________________________________;</w:t>
      </w:r>
    </w:p>
    <w:p w14:paraId="4A0E6825" w14:textId="77777777" w:rsidR="00512944" w:rsidRPr="009D2F95" w:rsidRDefault="00512944" w:rsidP="00512944">
      <w:pPr>
        <w:pStyle w:val="a4"/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1418" w:hanging="709"/>
        <w:contextualSpacing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_________________________________________________________;</w:t>
      </w:r>
    </w:p>
    <w:p w14:paraId="25BE2138" w14:textId="77777777" w:rsidR="00512944" w:rsidRPr="009D2F95" w:rsidRDefault="00512944" w:rsidP="00512944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2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</w:t>
      </w:r>
      <w:r w:rsidRPr="009D2F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0A0D29A7" w14:textId="77777777" w:rsidR="00512944" w:rsidRPr="009D2F95" w:rsidRDefault="00512944" w:rsidP="00512944">
      <w:pPr>
        <w:pStyle w:val="a4"/>
        <w:widowControl w:val="0"/>
        <w:numPr>
          <w:ilvl w:val="0"/>
          <w:numId w:val="28"/>
        </w:numPr>
        <w:autoSpaceDE w:val="0"/>
        <w:autoSpaceDN w:val="0"/>
        <w:adjustRightInd w:val="0"/>
        <w:spacing w:before="360" w:after="120" w:line="240" w:lineRule="auto"/>
        <w:ind w:left="357" w:hanging="357"/>
        <w:contextualSpacing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 ОБОРУДОВАНИЮ СИСТЕМ ТЕХНОЛОГИЧЕСКОГО УПРАВЛЕНИЯ</w:t>
      </w:r>
    </w:p>
    <w:p w14:paraId="3603AA02" w14:textId="77777777" w:rsidR="00512944" w:rsidRPr="00D144AD" w:rsidRDefault="00512944" w:rsidP="00512944">
      <w:pPr>
        <w:pStyle w:val="a4"/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Оснастить объекты по производству электрической энергии и объекты электросетевого хозяйства, указанные в разделе 1 настоящих технических условий, микропроцессорными устройствами релейной защиты и автоматики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(РЗА)</w:t>
      </w:r>
      <w:r w:rsidRPr="00A60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поддержкой стандартных протоколов обмена, совместимых с АСУ ТП (ССПИ) на существующих объектах электросетевого хозяйства</w:t>
      </w:r>
      <w:r w:rsidRPr="008A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D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Протоколы обмена согласовать с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ДЗО ПАО 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Россети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»</w:t>
      </w: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Устройства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РЗА </w:t>
      </w: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должны </w:t>
      </w:r>
      <w:r w:rsidRPr="00D14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свою работу при частоте 45,0 – 55,0 Гц.</w:t>
      </w:r>
    </w:p>
    <w:p w14:paraId="459DED5C" w14:textId="77777777" w:rsidR="00512944" w:rsidRPr="0099313D" w:rsidRDefault="00512944" w:rsidP="0051294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4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144AD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хемы</w:t>
      </w:r>
      <w:r w:rsidRPr="0099313D">
        <w:rPr>
          <w:rFonts w:ascii="Times New Roman" w:hAnsi="Times New Roman" w:cs="Times New Roman"/>
          <w:sz w:val="28"/>
          <w:szCs w:val="28"/>
        </w:rPr>
        <w:t xml:space="preserve"> распределения устройств РЗА по трансформаторам тока и</w:t>
      </w:r>
      <w:r w:rsidRPr="00D144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9313D">
        <w:rPr>
          <w:rFonts w:ascii="Times New Roman" w:hAnsi="Times New Roman" w:cs="Times New Roman"/>
          <w:sz w:val="28"/>
          <w:szCs w:val="28"/>
        </w:rPr>
        <w:t xml:space="preserve">напряжения согласовать с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ДЗО ПАО 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Россети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»</w:t>
      </w:r>
      <w:r w:rsidRPr="0099313D">
        <w:rPr>
          <w:rFonts w:ascii="Times New Roman" w:hAnsi="Times New Roman" w:cs="Times New Roman"/>
          <w:sz w:val="28"/>
          <w:szCs w:val="28"/>
        </w:rPr>
        <w:t xml:space="preserve"> и </w:t>
      </w:r>
      <w:r w:rsidRPr="00D144AD">
        <w:rPr>
          <w:rFonts w:ascii="Times New Roman" w:eastAsia="Times New Roman" w:hAnsi="Times New Roman" w:cs="Times New Roman"/>
          <w:sz w:val="28"/>
          <w:szCs w:val="28"/>
          <w:lang w:eastAsia="ru-RU"/>
        </w:rPr>
        <w:t>АО</w:t>
      </w:r>
      <w:r w:rsidRPr="0099313D">
        <w:rPr>
          <w:rFonts w:ascii="Times New Roman" w:hAnsi="Times New Roman" w:cs="Times New Roman"/>
          <w:sz w:val="28"/>
          <w:szCs w:val="28"/>
        </w:rPr>
        <w:t xml:space="preserve"> «СО ЕЭС</w:t>
      </w:r>
      <w:r w:rsidRPr="00D144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9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144A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99313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илиалом АО «СО ЕЭС» ________)</w:t>
      </w:r>
    </w:p>
    <w:p w14:paraId="56A7CC12" w14:textId="77777777" w:rsidR="00512944" w:rsidRPr="009D2F95" w:rsidRDefault="00512944" w:rsidP="00512944">
      <w:pPr>
        <w:pStyle w:val="a4"/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Оснастить </w:t>
      </w: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 по производству электрической энергии</w:t>
      </w:r>
      <w:r w:rsidRPr="001F0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144AD">
        <w:rPr>
          <w:rFonts w:ascii="Times New Roman" w:hAnsi="Times New Roman" w:cs="Times New Roman"/>
          <w:sz w:val="28"/>
          <w:szCs w:val="28"/>
          <w:lang w:val="x-none"/>
        </w:rPr>
        <w:t xml:space="preserve"> объекты электросетевого</w:t>
      </w:r>
      <w:r w:rsidRPr="009D2F95">
        <w:rPr>
          <w:rFonts w:ascii="Times New Roman" w:hAnsi="Times New Roman" w:cs="Times New Roman"/>
          <w:sz w:val="28"/>
          <w:szCs w:val="28"/>
          <w:lang w:val="x-none"/>
        </w:rPr>
        <w:t xml:space="preserve"> хозяйства,</w:t>
      </w: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указанные</w:t>
      </w:r>
      <w:r w:rsidRPr="009D2F95">
        <w:rPr>
          <w:rFonts w:ascii="Times New Roman" w:hAnsi="Times New Roman" w:cs="Times New Roman"/>
          <w:sz w:val="28"/>
          <w:szCs w:val="28"/>
          <w:lang w:val="x-none"/>
        </w:rPr>
        <w:t>,</w:t>
      </w: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пунктах 1._, 1._... настоящих технических условий, устройствами сбора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передачи телеинформации </w:t>
      </w:r>
      <w:r w:rsidRPr="009D2F95">
        <w:rPr>
          <w:rFonts w:ascii="Times New Roman" w:hAnsi="Times New Roman" w:cs="Times New Roman"/>
          <w:sz w:val="28"/>
          <w:szCs w:val="28"/>
          <w:lang w:val="x-none"/>
        </w:rPr>
        <w:t>в Филиал АО «СО ЕЭС» (наименование филиала) и</w:t>
      </w:r>
      <w:r w:rsidRPr="009D2F9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ДЗО ПАО 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Россети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»</w:t>
      </w:r>
      <w:r w:rsidRPr="009D2F95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двум независимым каналам связи, </w:t>
      </w:r>
      <w:r w:rsidRPr="009D2F95">
        <w:rPr>
          <w:rFonts w:ascii="Times New Roman" w:hAnsi="Times New Roman" w:cs="Times New Roman"/>
          <w:sz w:val="28"/>
          <w:szCs w:val="28"/>
        </w:rPr>
        <w:t>исключающим возможность одновременного отказа (вывода из работы) по общей причине</w:t>
      </w: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E4CACB8" w14:textId="77777777" w:rsidR="00512944" w:rsidRDefault="00512944" w:rsidP="0051294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D2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ехнические характеристики каналов связи, точки измерения и объем передаваемой телеинформации согласовать с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ДЗО ПАО 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Россети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»</w:t>
      </w:r>
      <w:r w:rsidRPr="009D2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АО «СО ЕЭС» (</w:t>
      </w:r>
      <w:r w:rsidRPr="00A554A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Филиалом АО «СО ЕЭС» ________), при этом должна быть обеспечена наблюдаемость фактической нагрузки, подключенной к устройствам ПА (кроме АЧР).</w:t>
      </w:r>
    </w:p>
    <w:p w14:paraId="5E8B1B68" w14:textId="77777777" w:rsidR="00512944" w:rsidRPr="00A554AA" w:rsidRDefault="00512944" w:rsidP="0051294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DB7">
        <w:rPr>
          <w:rFonts w:ascii="Times New Roman" w:hAnsi="Times New Roman" w:cs="Times New Roman"/>
          <w:sz w:val="28"/>
          <w:szCs w:val="28"/>
          <w:lang w:eastAsia="ru-RU"/>
        </w:rPr>
        <w:t>Устройства сбора и передачи телеинформации должны быть интегрированы в существующие АСУ ТП (ССПИ)</w:t>
      </w:r>
      <w:r>
        <w:rPr>
          <w:rStyle w:val="a7"/>
          <w:rFonts w:ascii="Times New Roman" w:hAnsi="Times New Roman"/>
          <w:sz w:val="28"/>
          <w:szCs w:val="28"/>
          <w:lang w:eastAsia="ru-RU"/>
        </w:rPr>
        <w:footnoteReference w:id="12"/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9A75BB2" w14:textId="77777777" w:rsidR="00512944" w:rsidRPr="009D2F95" w:rsidRDefault="00512944" w:rsidP="00512944">
      <w:pPr>
        <w:pStyle w:val="a4"/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Оснастить объекты по</w:t>
      </w: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производству электрической энергии и объекты электросетевого хозяйства, указанные в пунктах 1._, 1._... настоящих технических условий, телефонной связью с диспетчерским персоналом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АО «СО ЕЭС» (Филиала АО «СО ЕЭС» ________) и оперативным персоналом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ДЗО ПАО 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Россети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»</w:t>
      </w: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двум независимым каналам связи, </w:t>
      </w:r>
      <w:r w:rsidRPr="009D2F95">
        <w:rPr>
          <w:rFonts w:ascii="Times New Roman" w:hAnsi="Times New Roman" w:cs="Times New Roman"/>
          <w:sz w:val="28"/>
          <w:szCs w:val="28"/>
        </w:rPr>
        <w:t>исключающим возможность одновременного отказа (вывода из работы) по общей причине</w:t>
      </w: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14:paraId="44757941" w14:textId="77777777" w:rsidR="00512944" w:rsidRPr="0099313D" w:rsidRDefault="00512944" w:rsidP="005129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93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9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ехнические характеристики каналов связи согласовать с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ДЗО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br/>
        <w:t>ПАО 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Россети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»</w:t>
      </w:r>
      <w:r w:rsidRPr="0099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АО «СО ЕЭС» (Филиалом АО «СО ЕЭС» </w:t>
      </w:r>
      <w:r w:rsidRPr="00F15C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________).</w:t>
      </w:r>
    </w:p>
    <w:p w14:paraId="69B9984A" w14:textId="77777777" w:rsidR="00512944" w:rsidRPr="00A554AA" w:rsidRDefault="00512944" w:rsidP="00512944">
      <w:pPr>
        <w:pStyle w:val="a4"/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учет электроэнергии в соответствии со следующими требованиями:</w:t>
      </w:r>
    </w:p>
    <w:p w14:paraId="10143B62" w14:textId="77777777" w:rsidR="00512944" w:rsidRPr="00A554AA" w:rsidRDefault="00512944" w:rsidP="00512944">
      <w:pPr>
        <w:pStyle w:val="a4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4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Типовой инструкцией по учету электроэнергии при ее производстве, передаче и распределении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 </w:t>
      </w:r>
      <w:r w:rsidRPr="00A5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34.09.101-94) </w:t>
      </w:r>
      <w:r w:rsidRPr="00A5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 требованиями </w:t>
      </w:r>
      <w:r w:rsidRPr="00A554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организации учета электрической энергии на розничных рынках,</w:t>
      </w:r>
      <w:r w:rsidRPr="007E5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</w:t>
      </w:r>
      <w:r w:rsidRPr="002E5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положениями функционирования розничных рынков электрической </w:t>
      </w:r>
      <w:r w:rsidRPr="00A554AA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энергии</w:t>
      </w:r>
      <w:r w:rsidRPr="00A554AA" w:rsidDel="00A5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4AA">
        <w:rPr>
          <w:rFonts w:ascii="Times New Roman" w:eastAsia="Times New Roman" w:hAnsi="Times New Roman" w:cs="Times New Roman"/>
          <w:sz w:val="28"/>
          <w:szCs w:val="28"/>
          <w:lang w:eastAsia="ru-RU"/>
        </w:rPr>
        <w:t>/ Договора о присоединении к торговой системе оптового рынка</w:t>
      </w:r>
      <w:r w:rsidRPr="000B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620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требованиями ПУЭ</w:t>
      </w:r>
      <w:r w:rsidRPr="00A554AA"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54AA"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13"/>
      </w:r>
      <w:r w:rsidRPr="00A554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336D2AD" w14:textId="77777777" w:rsidR="00512944" w:rsidRPr="009D2F95" w:rsidRDefault="00512944" w:rsidP="00512944">
      <w:pPr>
        <w:pStyle w:val="a4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точки учета согласовать с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ДЗО ПАО 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Россети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»</w:t>
      </w:r>
      <w:r w:rsidRPr="009D2F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93D19E8" w14:textId="77777777" w:rsidR="00512944" w:rsidRPr="00A554AA" w:rsidRDefault="00512944" w:rsidP="00512944">
      <w:pPr>
        <w:pStyle w:val="a4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интеграцию с АИИС КУЭ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ДЗО ПАО 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Россети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»</w:t>
      </w:r>
      <w:r w:rsidRPr="00D144A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9D2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 организацией ежедневной передачи </w:t>
      </w:r>
      <w:r w:rsidRPr="00A5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измерения, информации о состоянии средств измерения и объектов измерения </w:t>
      </w:r>
      <w:r w:rsidRPr="0099313D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A5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требованиями </w:t>
      </w:r>
      <w:r w:rsidRPr="00A554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организации учета электрической энергии на розничных рынках, установленных Основными положениями функционирования розничных рынков электрической энергии</w:t>
      </w:r>
      <w:r w:rsidRPr="00A554AA" w:rsidDel="00A554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Pr="00A554AA">
        <w:rPr>
          <w:rFonts w:ascii="Times New Roman" w:hAnsi="Times New Roman" w:cs="Times New Roman"/>
          <w:sz w:val="28"/>
          <w:szCs w:val="28"/>
          <w:lang w:eastAsia="ru-RU"/>
        </w:rPr>
        <w:t>Догов</w:t>
      </w:r>
      <w:r w:rsidRPr="00F15C31">
        <w:rPr>
          <w:rFonts w:ascii="Times New Roman" w:hAnsi="Times New Roman" w:cs="Times New Roman"/>
          <w:sz w:val="28"/>
          <w:szCs w:val="28"/>
          <w:lang w:eastAsia="ru-RU"/>
        </w:rPr>
        <w:t>ора</w:t>
      </w:r>
      <w:r w:rsidRPr="00A554AA">
        <w:rPr>
          <w:rFonts w:ascii="Times New Roman" w:hAnsi="Times New Roman" w:cs="Times New Roman"/>
          <w:sz w:val="28"/>
          <w:szCs w:val="28"/>
          <w:lang w:eastAsia="ru-RU"/>
        </w:rPr>
        <w:t xml:space="preserve"> о присоединении к </w:t>
      </w:r>
      <w:r w:rsidRPr="00A554A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торговой системе оптового рынка</w:t>
      </w:r>
      <w:r w:rsidRPr="00A554AA">
        <w:rPr>
          <w:rStyle w:val="a7"/>
          <w:rFonts w:ascii="Times New Roman" w:hAnsi="Times New Roman"/>
          <w:sz w:val="28"/>
          <w:szCs w:val="28"/>
          <w:lang w:eastAsia="ru-RU"/>
        </w:rPr>
        <w:footnoteReference w:id="14"/>
      </w:r>
      <w:r w:rsidRPr="00A554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1791DA" w14:textId="77777777" w:rsidR="00512944" w:rsidRPr="009D2F95" w:rsidRDefault="00512944" w:rsidP="00512944">
      <w:pPr>
        <w:pStyle w:val="a4"/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Оснастить перечисленные в разделе 2 настоящих технических условий устройства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режимов.</w:t>
      </w:r>
    </w:p>
    <w:p w14:paraId="1B43375B" w14:textId="77777777" w:rsidR="00512944" w:rsidRPr="009D2F95" w:rsidRDefault="00512944" w:rsidP="00512944">
      <w:pPr>
        <w:pStyle w:val="a4"/>
        <w:widowControl w:val="0"/>
        <w:numPr>
          <w:ilvl w:val="0"/>
          <w:numId w:val="28"/>
        </w:numPr>
        <w:autoSpaceDE w:val="0"/>
        <w:autoSpaceDN w:val="0"/>
        <w:adjustRightInd w:val="0"/>
        <w:spacing w:before="360" w:after="120" w:line="240" w:lineRule="auto"/>
        <w:ind w:left="357" w:hanging="357"/>
        <w:contextualSpacing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ОБЪЕКТАМ ПО ПРОИЗВОДСТВУ</w:t>
      </w: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ЭЛЕКТРИЧЕСКОЙ ЭНЕРГИИ</w:t>
      </w:r>
    </w:p>
    <w:p w14:paraId="7CAF6BC1" w14:textId="77777777" w:rsidR="00512944" w:rsidRPr="009D2F95" w:rsidRDefault="00512944" w:rsidP="00512944">
      <w:pPr>
        <w:pStyle w:val="a4"/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следующие характеристики генер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ирующего оборудования электростанции</w:t>
      </w: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0C5D92D" w14:textId="77777777" w:rsidR="00512944" w:rsidRPr="0099313D" w:rsidRDefault="00512944" w:rsidP="00512944">
      <w:pPr>
        <w:pStyle w:val="a4"/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13D">
        <w:rPr>
          <w:rFonts w:ascii="Times New Roman" w:hAnsi="Times New Roman" w:cs="Times New Roman"/>
          <w:color w:val="000000"/>
          <w:sz w:val="28"/>
          <w:szCs w:val="28"/>
        </w:rPr>
        <w:t>Заявляемую скорость сброса/набора нагрузки не менее ____ МВт/мин.</w:t>
      </w:r>
    </w:p>
    <w:p w14:paraId="71297C2B" w14:textId="77777777" w:rsidR="00512944" w:rsidRPr="0099313D" w:rsidRDefault="00512944" w:rsidP="00512944">
      <w:pPr>
        <w:pStyle w:val="a4"/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13D">
        <w:rPr>
          <w:rFonts w:ascii="Times New Roman" w:hAnsi="Times New Roman" w:cs="Times New Roman"/>
          <w:color w:val="000000"/>
          <w:sz w:val="28"/>
          <w:szCs w:val="28"/>
        </w:rPr>
        <w:t>Заявляемый нижний предел регулировочного диапазона ___% (от установленной мощности генерирующего оборудования указанной в преамбуле настоящих технических условий).</w:t>
      </w:r>
    </w:p>
    <w:p w14:paraId="5F8D8251" w14:textId="77777777" w:rsidR="00512944" w:rsidRPr="009D2F95" w:rsidRDefault="00512944" w:rsidP="00512944">
      <w:pPr>
        <w:pStyle w:val="a4"/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13D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footnoteReference w:id="15"/>
      </w: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генераторах должны устанавливаться быстродействующие системы возбуждения с автоматическими регуляторами возбуждения (АРВ) сильного действия, функциональная структура АРВ которых для улучшения демпфирования колебаний в энергосистеме должна иметь каналы стабилизации или системные стабилизаторы (PSS).</w:t>
      </w:r>
    </w:p>
    <w:p w14:paraId="52CD51A4" w14:textId="77777777" w:rsidR="00512944" w:rsidRPr="009D2F95" w:rsidRDefault="00512944" w:rsidP="005129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D2F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Системы возбуждения и АРВ синхронных генераторов должны соответствовать требованиям ГОСТ 21558-2000 «Системы возбуждения турбогенераторов, гидрогенераторов и синхронных компенсаторов. Общие технические условия»</w:t>
      </w:r>
      <w:r w:rsidRPr="009D2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C1CFDB" w14:textId="77777777" w:rsidR="00512944" w:rsidRPr="009D2F95" w:rsidRDefault="00512944" w:rsidP="00512944">
      <w:pPr>
        <w:pStyle w:val="a4"/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АРВ сильного действия должен обеспечивать следующие функции:</w:t>
      </w:r>
    </w:p>
    <w:p w14:paraId="0B4FBEC8" w14:textId="77777777" w:rsidR="00512944" w:rsidRPr="009D2F95" w:rsidRDefault="00512944" w:rsidP="00512944">
      <w:pPr>
        <w:pStyle w:val="a4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F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демпфирование колебаний роторов синхронных генераторов в нормальных, ремонтных и послеаварийных режимах энергосистемы, исключающее самораскачивание или возникновение незатухающих колебаний в энергосистеме;</w:t>
      </w:r>
    </w:p>
    <w:p w14:paraId="0D56B74E" w14:textId="77777777" w:rsidR="00512944" w:rsidRPr="009D2F95" w:rsidRDefault="00512944" w:rsidP="00512944">
      <w:pPr>
        <w:pStyle w:val="a4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релейную </w:t>
      </w:r>
      <w:proofErr w:type="spellStart"/>
      <w:r w:rsidRPr="009D2F9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форсировку</w:t>
      </w:r>
      <w:proofErr w:type="spellEnd"/>
      <w:r w:rsidRPr="009D2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возбуждения, обеспечивающую увеличение напряжения возбуждения и тока возбуждения электрической машины с максимально возможной скоростью до своих потолочных значений, и имеющую настраиваемые параметры: напряжение ввода и снятия релейной </w:t>
      </w:r>
      <w:proofErr w:type="spellStart"/>
      <w:r w:rsidRPr="009D2F9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форсировки</w:t>
      </w:r>
      <w:proofErr w:type="spellEnd"/>
      <w:r w:rsidRPr="009D2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возбуждения, время задержки на снятие релейной </w:t>
      </w:r>
      <w:proofErr w:type="spellStart"/>
      <w:r w:rsidRPr="009D2F9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форсировки</w:t>
      </w:r>
      <w:proofErr w:type="spellEnd"/>
      <w:r w:rsidRPr="009D2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возбуждения;</w:t>
      </w:r>
    </w:p>
    <w:p w14:paraId="52C2EB19" w14:textId="77777777" w:rsidR="00512944" w:rsidRPr="009D2F95" w:rsidRDefault="00512944" w:rsidP="00512944">
      <w:pPr>
        <w:pStyle w:val="a4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F9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блокировку каналов стабилизации или системного стабилизатора при изменении частоты со скоростью 0.05 Гц/</w:t>
      </w:r>
      <w:proofErr w:type="gramStart"/>
      <w:r w:rsidRPr="009D2F9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D2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более;</w:t>
      </w:r>
    </w:p>
    <w:p w14:paraId="1AC20E07" w14:textId="77777777" w:rsidR="00512944" w:rsidRPr="009D2F95" w:rsidRDefault="00512944" w:rsidP="00512944">
      <w:pPr>
        <w:pStyle w:val="a4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F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устойчивую работу генераторов в режиме ограничения минимального возбуждения;</w:t>
      </w:r>
    </w:p>
    <w:p w14:paraId="21A0E442" w14:textId="77777777" w:rsidR="00512944" w:rsidRPr="00A554AA" w:rsidRDefault="00512944" w:rsidP="00512944">
      <w:pPr>
        <w:pStyle w:val="a4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до двукратного значения тока ротора с выдержкой времени не более 0</w:t>
      </w:r>
      <w:r w:rsidRPr="00A554AA">
        <w:rPr>
          <w:rFonts w:ascii="Times New Roman" w:eastAsia="Times New Roman" w:hAnsi="Times New Roman" w:cs="Times New Roman"/>
          <w:sz w:val="28"/>
          <w:szCs w:val="28"/>
          <w:lang w:eastAsia="ru-RU"/>
        </w:rPr>
        <w:t>.2 с.</w:t>
      </w:r>
    </w:p>
    <w:p w14:paraId="346176EB" w14:textId="77777777" w:rsidR="00512944" w:rsidRPr="00A554AA" w:rsidRDefault="00512944" w:rsidP="00512944">
      <w:pPr>
        <w:widowControl w:val="0"/>
        <w:autoSpaceDE w:val="0"/>
        <w:autoSpaceDN w:val="0"/>
        <w:adjustRightInd w:val="0"/>
        <w:spacing w:before="60"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4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указанных требований должно быть подтверждено результатами испытаний. Программа испытаний должна быть согласована с АО «СО ЕЭС».</w:t>
      </w:r>
    </w:p>
    <w:p w14:paraId="1A1BDF07" w14:textId="77777777" w:rsidR="00512944" w:rsidRPr="0099313D" w:rsidRDefault="00512944" w:rsidP="00512944">
      <w:pPr>
        <w:pStyle w:val="a4"/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13D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Предусмотреть участие генераторов Заявителя в реализации управляющих воздействий </w:t>
      </w:r>
      <w:r w:rsidRPr="00A5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противоаварийной автоматики</w:t>
      </w:r>
      <w:r w:rsidRPr="0099313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B2D7F">
        <w:rPr>
          <w:rFonts w:ascii="Times New Roman" w:hAnsi="Times New Roman" w:cs="Times New Roman"/>
          <w:color w:val="000000"/>
          <w:sz w:val="28"/>
          <w:szCs w:val="28"/>
        </w:rPr>
        <w:t xml:space="preserve">Объем управляющих воздействий определить в проектной документации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2D7F">
        <w:rPr>
          <w:rFonts w:ascii="Times New Roman" w:hAnsi="Times New Roman" w:cs="Times New Roman"/>
          <w:color w:val="000000"/>
          <w:sz w:val="28"/>
          <w:szCs w:val="28"/>
        </w:rPr>
        <w:t xml:space="preserve">и согласовать с АО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B2D7F">
        <w:rPr>
          <w:rFonts w:ascii="Times New Roman" w:hAnsi="Times New Roman" w:cs="Times New Roman"/>
          <w:color w:val="000000"/>
          <w:sz w:val="28"/>
          <w:szCs w:val="28"/>
        </w:rPr>
        <w:t>СО ЕЭС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99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(Филиалом АО «СО ЕЭС» </w:t>
      </w:r>
      <w:r w:rsidRPr="00F15C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47D839" w14:textId="77777777" w:rsidR="00512944" w:rsidRPr="009D2F95" w:rsidRDefault="00512944" w:rsidP="00512944">
      <w:pPr>
        <w:pStyle w:val="a4"/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Оснастить объекты по производству</w:t>
      </w: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электрической энергии следующими устройствами:</w:t>
      </w:r>
    </w:p>
    <w:p w14:paraId="713EE3E3" w14:textId="77777777" w:rsidR="00512944" w:rsidRPr="009D2F95" w:rsidRDefault="00512944" w:rsidP="00512944">
      <w:pPr>
        <w:pStyle w:val="a4"/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Устройствами РЗА, исключающими несинхронное включение объекта по производству электрической энергии в электрическую сеть, а также подачу несинхронного напряжения на объект по производству электрической энергии от электрических сетей</w:t>
      </w:r>
      <w:r w:rsidRPr="0099313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9313D">
        <w:rPr>
          <w:rFonts w:ascii="Times New Roman" w:hAnsi="Times New Roman" w:cs="Times New Roman"/>
          <w:sz w:val="28"/>
          <w:szCs w:val="28"/>
          <w:vertAlign w:val="superscript"/>
        </w:rPr>
        <w:footnoteReference w:id="16"/>
      </w:r>
    </w:p>
    <w:p w14:paraId="14B96BDC" w14:textId="77777777" w:rsidR="00512944" w:rsidRPr="009D2F95" w:rsidRDefault="00512944" w:rsidP="00512944">
      <w:pPr>
        <w:pStyle w:val="a4"/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Устройствами делительной автоматики, обеспечивающими готовность к отделению всего или части генерирующего оборудования от энергосистемы в аварийных электроэнергетических режимах с переходом на электроснабжение собственных нужд и (при наличии) сбалансированного </w:t>
      </w:r>
      <w:proofErr w:type="spellStart"/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энергорайона</w:t>
      </w:r>
      <w:proofErr w:type="spellEnd"/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этом для возможности обеспечения корректной совместной работы ЧДА и АЧР генерирующее оборудование должно обеспечивать свою устойчивую работу:</w:t>
      </w:r>
    </w:p>
    <w:p w14:paraId="286B9C15" w14:textId="77777777" w:rsidR="00512944" w:rsidRPr="009D2F95" w:rsidRDefault="00512944" w:rsidP="00512944">
      <w:pPr>
        <w:pStyle w:val="a4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частоте 46,0 – 47,0 Гц – в течение не менее 1 </w:t>
      </w:r>
      <w:proofErr w:type="gramStart"/>
      <w:r w:rsidRPr="009D2F9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D2F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34F9E35" w14:textId="77777777" w:rsidR="00512944" w:rsidRPr="009D2F95" w:rsidRDefault="00512944" w:rsidP="00512944">
      <w:pPr>
        <w:pStyle w:val="a4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F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частоте более 47,0 – 48 Гц – в течение не менее 1 минуты.</w:t>
      </w:r>
    </w:p>
    <w:p w14:paraId="60752328" w14:textId="77777777" w:rsidR="00512944" w:rsidRPr="009D2F95" w:rsidRDefault="00512944" w:rsidP="005129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выделения на собственные нужды устойчивая работа выделяемого генерирующего оборудования должна обеспечиваться в течение </w:t>
      </w: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менее 30 минут.</w:t>
      </w: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17"/>
      </w:r>
    </w:p>
    <w:p w14:paraId="08D28F73" w14:textId="77777777" w:rsidR="00512944" w:rsidRPr="009D2F95" w:rsidRDefault="00512944" w:rsidP="005129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F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указанных требований должно быть подтверждено результатами испытаний. Программа испытаний должна быть согласована с АО «СО ЕЭС».</w:t>
      </w:r>
    </w:p>
    <w:p w14:paraId="10D5E10F" w14:textId="77777777" w:rsidR="00512944" w:rsidRPr="0099313D" w:rsidRDefault="00512944" w:rsidP="00512944">
      <w:pPr>
        <w:pStyle w:val="a4"/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13D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Предусмотреть участие объекта по производству электрической энергии в общем первичном регулировании частоты, а в случае если осуществляется присоединение гидроэлектростанции мощностью свыше </w:t>
      </w: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Pr="009D2F9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313D">
        <w:rPr>
          <w:rFonts w:ascii="Times New Roman" w:hAnsi="Times New Roman" w:cs="Times New Roman"/>
          <w:color w:val="000000"/>
          <w:sz w:val="28"/>
          <w:szCs w:val="28"/>
        </w:rPr>
        <w:t xml:space="preserve">МВт – предусмотреть также участие объекта по производству электрической энергии в автоматическом вторичном регулировании частоты </w:t>
      </w: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D2F95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9D2F9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9313D">
        <w:rPr>
          <w:rFonts w:ascii="Times New Roman" w:hAnsi="Times New Roman" w:cs="Times New Roman"/>
          <w:color w:val="000000"/>
          <w:sz w:val="28"/>
          <w:szCs w:val="28"/>
        </w:rPr>
        <w:t>еретоков</w:t>
      </w:r>
      <w:proofErr w:type="spellEnd"/>
      <w:r w:rsidRPr="0099313D">
        <w:rPr>
          <w:rFonts w:ascii="Times New Roman" w:hAnsi="Times New Roman" w:cs="Times New Roman"/>
          <w:color w:val="000000"/>
          <w:sz w:val="28"/>
          <w:szCs w:val="28"/>
        </w:rPr>
        <w:t xml:space="preserve"> активной мощности.</w:t>
      </w:r>
    </w:p>
    <w:p w14:paraId="7827AB5A" w14:textId="77777777" w:rsidR="00512944" w:rsidRPr="0099313D" w:rsidRDefault="00512944" w:rsidP="00512944">
      <w:pPr>
        <w:pStyle w:val="a4"/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13D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Предусмотреть участие объекта по производству электрической энергии в нормированном первичном регулировании частоты </w:t>
      </w: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D2F95">
        <w:rPr>
          <w:rFonts w:ascii="Times New Roman" w:hAnsi="Times New Roman" w:cs="Times New Roman"/>
          <w:color w:val="000000"/>
          <w:sz w:val="28"/>
          <w:szCs w:val="28"/>
        </w:rPr>
        <w:t> а</w:t>
      </w:r>
      <w:r w:rsidRPr="0099313D">
        <w:rPr>
          <w:rFonts w:ascii="Times New Roman" w:hAnsi="Times New Roman" w:cs="Times New Roman"/>
          <w:color w:val="000000"/>
          <w:sz w:val="28"/>
          <w:szCs w:val="28"/>
        </w:rPr>
        <w:t xml:space="preserve">втоматическом вторичном регулировании частоты и </w:t>
      </w:r>
      <w:proofErr w:type="spellStart"/>
      <w:r w:rsidRPr="0099313D">
        <w:rPr>
          <w:rFonts w:ascii="Times New Roman" w:hAnsi="Times New Roman" w:cs="Times New Roman"/>
          <w:color w:val="000000"/>
          <w:sz w:val="28"/>
          <w:szCs w:val="28"/>
        </w:rPr>
        <w:t>перетоков</w:t>
      </w:r>
      <w:proofErr w:type="spellEnd"/>
      <w:r w:rsidRPr="0099313D">
        <w:rPr>
          <w:rFonts w:ascii="Times New Roman" w:hAnsi="Times New Roman" w:cs="Times New Roman"/>
          <w:color w:val="000000"/>
          <w:sz w:val="28"/>
          <w:szCs w:val="28"/>
        </w:rPr>
        <w:t xml:space="preserve"> активной мощности в случае планирования Заявителем участия в оказании услуг </w:t>
      </w: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9D2F9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313D">
        <w:rPr>
          <w:rFonts w:ascii="Times New Roman" w:hAnsi="Times New Roman" w:cs="Times New Roman"/>
          <w:color w:val="000000"/>
          <w:sz w:val="28"/>
          <w:szCs w:val="28"/>
        </w:rPr>
        <w:t>обеспечению системной надежности.</w:t>
      </w:r>
      <w:r w:rsidRPr="0099313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footnoteReference w:id="18"/>
      </w:r>
    </w:p>
    <w:p w14:paraId="24E590A9" w14:textId="77777777" w:rsidR="00512944" w:rsidRPr="0099313D" w:rsidRDefault="00512944" w:rsidP="00512944">
      <w:pPr>
        <w:pStyle w:val="a4"/>
        <w:numPr>
          <w:ilvl w:val="1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13D">
        <w:rPr>
          <w:rFonts w:ascii="Times New Roman" w:hAnsi="Times New Roman" w:cs="Times New Roman"/>
          <w:color w:val="000000"/>
          <w:sz w:val="28"/>
          <w:szCs w:val="28"/>
        </w:rPr>
        <w:t>Оснастить ____________</w:t>
      </w:r>
      <w:r w:rsidRPr="00F15C31">
        <w:rPr>
          <w:rFonts w:ascii="Times New Roman" w:hAnsi="Times New Roman"/>
          <w:sz w:val="28"/>
          <w:szCs w:val="28"/>
          <w:vertAlign w:val="superscript"/>
        </w:rPr>
        <w:footnoteReference w:id="19"/>
      </w:r>
      <w:r w:rsidRPr="0099313D">
        <w:rPr>
          <w:rFonts w:ascii="Times New Roman" w:hAnsi="Times New Roman" w:cs="Times New Roman"/>
          <w:color w:val="000000"/>
          <w:sz w:val="28"/>
          <w:szCs w:val="28"/>
        </w:rPr>
        <w:t xml:space="preserve"> устройствами систем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99313D">
        <w:rPr>
          <w:rFonts w:ascii="Times New Roman" w:hAnsi="Times New Roman" w:cs="Times New Roman"/>
          <w:color w:val="000000"/>
          <w:sz w:val="28"/>
          <w:szCs w:val="28"/>
        </w:rPr>
        <w:t xml:space="preserve"> мониторинга переходных режимов в электроэнергетической системе с организацией передачи информации в АО «СО ЕЭС» (филиал АО «СО ЕЭС» ________) по двум независимым каналам передачи данных.</w:t>
      </w:r>
      <w:r w:rsidRPr="009D2F95"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9D2F95">
        <w:rPr>
          <w:rStyle w:val="a7"/>
          <w:rFonts w:ascii="Times New Roman" w:hAnsi="Times New Roman"/>
          <w:color w:val="000000"/>
          <w:sz w:val="28"/>
          <w:szCs w:val="28"/>
        </w:rPr>
        <w:footnoteReference w:id="20"/>
      </w:r>
    </w:p>
    <w:p w14:paraId="15EB6BB4" w14:textId="77777777" w:rsidR="00512944" w:rsidRDefault="00512944" w:rsidP="00512944">
      <w:pPr>
        <w:pStyle w:val="a4"/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разработку и режимное обоснование специальной схемы подачи напряжения от внешней электрической сети или от генерирующего источника для разворота (пуска) полностью остановленной электростанции</w:t>
      </w: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21"/>
      </w: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38F96BC" w14:textId="77777777" w:rsidR="00512944" w:rsidRDefault="00512944" w:rsidP="00512944">
      <w:pPr>
        <w:pStyle w:val="a4"/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Предусмотреть мероприятия, обеспечивающие качество электрической энергии согласно ГОСТ 32144-2013 в точках поставки.</w:t>
      </w:r>
    </w:p>
    <w:p w14:paraId="36966292" w14:textId="77777777" w:rsidR="00512944" w:rsidRPr="009D2F95" w:rsidRDefault="00512944" w:rsidP="00512944">
      <w:pPr>
        <w:pStyle w:val="a4"/>
        <w:widowControl w:val="0"/>
        <w:numPr>
          <w:ilvl w:val="0"/>
          <w:numId w:val="28"/>
        </w:numPr>
        <w:autoSpaceDE w:val="0"/>
        <w:autoSpaceDN w:val="0"/>
        <w:adjustRightInd w:val="0"/>
        <w:spacing w:before="360" w:after="120" w:line="240" w:lineRule="auto"/>
        <w:ind w:left="357" w:hanging="357"/>
        <w:contextualSpacing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ВЫПОЛНЕНИЯ МЕРОПРИЯТИЙ </w:t>
      </w: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ТЕХНОЛОГИЧЕСКОМУ ПРИСОЕДИНЕНИЮ</w:t>
      </w:r>
    </w:p>
    <w:p w14:paraId="42503E53" w14:textId="77777777" w:rsidR="00512944" w:rsidRPr="009D2F95" w:rsidRDefault="00512944" w:rsidP="00512944">
      <w:pPr>
        <w:pStyle w:val="a4"/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выполняет мероприятия, указанные в пунктах 1._, 1._..., с учетом требований разделов 2 и 3 настоящих технических условий, включая разработку проектной и рабочей документации. Заявитель обязан согласовать задание на проектирование, проектную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</w:t>
      </w:r>
      <w:r w:rsidRPr="008A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рабочую документацию с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 ПАО «</w:t>
      </w:r>
      <w:proofErr w:type="spellStart"/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Россети</w:t>
      </w:r>
      <w:proofErr w:type="spellEnd"/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 АО «СО ЕЭС» (Филиалом АО «СО ЕЭС» ________).</w:t>
      </w:r>
    </w:p>
    <w:p w14:paraId="1B73D457" w14:textId="77777777" w:rsidR="00512944" w:rsidRPr="009D2F95" w:rsidRDefault="00512944" w:rsidP="00512944">
      <w:pPr>
        <w:pStyle w:val="a4"/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F9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З</w:t>
      </w:r>
      <w:r w:rsidRPr="009D2F9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 ПАО «</w:t>
      </w:r>
      <w:proofErr w:type="spellStart"/>
      <w:r w:rsidRPr="009D2F9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Россети</w:t>
      </w:r>
      <w:proofErr w:type="spellEnd"/>
      <w:r w:rsidRPr="009D2F9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» </w:t>
      </w: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выполняет мероприятия, указанные в пунктах 1._, 1._... (мероприятия, указанные в пунктах 1._, 1._... выполняются </w:t>
      </w:r>
      <w:r w:rsidRPr="009D2F9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З</w:t>
      </w:r>
      <w:r w:rsidRPr="009D2F9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 ПАО «</w:t>
      </w:r>
      <w:proofErr w:type="spellStart"/>
      <w:r w:rsidRPr="009D2F9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Россети</w:t>
      </w:r>
      <w:proofErr w:type="spellEnd"/>
      <w:r w:rsidRPr="009D2F9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»</w:t>
      </w: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путем урегулирования отношений с третьими лицами), </w:t>
      </w: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 учетом требований раздела 2 настоящих технических условий, включая разработку проектной и рабочей документации.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ДЗО ПАО 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Россети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»</w:t>
      </w: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обязано согласовать задание на проектирование, проектную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рабочую</w:t>
      </w:r>
      <w:proofErr w:type="spellEnd"/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документацию с АО «СО ЕЭС» (филиалом АО «СО ЕЭС» ________). </w:t>
      </w:r>
    </w:p>
    <w:p w14:paraId="45A5CD72" w14:textId="77777777" w:rsidR="00512944" w:rsidRPr="009D2F95" w:rsidRDefault="00512944" w:rsidP="00512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необходимости выполнения работ по модернизации (замене) систем технологического управления на объектах третьих лиц затраты на такие работы должны быть разделены по соответствующим объектам, урегулирование отношений с третьими лицами по выполнению работ на принадлежащих им объектах осуществляет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ДЗО ПАО 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Россети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»</w:t>
      </w: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4C75EF7" w14:textId="77777777" w:rsidR="00512944" w:rsidRPr="0099313D" w:rsidRDefault="00512944" w:rsidP="0051294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D2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Мероприятия, указанные в пунктах 1._, 1._..., выполняются в рамках реализации утвержденной Инвестиционной программы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ДЗО ПАО 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Россети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»</w:t>
      </w:r>
      <w:r w:rsidRPr="009D2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20__ – 20__ годы</w:t>
      </w:r>
      <w:r w:rsidRPr="009D2F95">
        <w:rPr>
          <w:rStyle w:val="a7"/>
          <w:rFonts w:ascii="Times New Roman" w:hAnsi="Times New Roman"/>
          <w:sz w:val="28"/>
          <w:szCs w:val="28"/>
        </w:rPr>
        <w:footnoteReference w:id="22"/>
      </w:r>
      <w:r w:rsidRPr="009D2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92E752" w14:textId="77777777" w:rsidR="00512944" w:rsidRPr="009D2F95" w:rsidRDefault="00512944" w:rsidP="00512944">
      <w:pPr>
        <w:pStyle w:val="a4"/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ДЗО ПАО 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Россети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»</w:t>
      </w: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выполняет разработку проектной документации по мероприятиям, указанным в пунктах 1._, 1._..., с учетом требований раздела 2 настоящих технических условий.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ДЗО ПАО 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Россети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»</w:t>
      </w: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обязано согласовать задание на проектирование и проектную документацию с АО «СО ЕЭС» (филиалом АО «СО ЕЭС» ________).</w:t>
      </w:r>
    </w:p>
    <w:p w14:paraId="71C11A77" w14:textId="77777777" w:rsidR="00512944" w:rsidRPr="009D2F95" w:rsidRDefault="00512944" w:rsidP="00512944">
      <w:pPr>
        <w:widowControl w:val="0"/>
        <w:tabs>
          <w:tab w:val="right" w:pos="9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2F9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Выполнение перечисленных в данном пункте мероприятий осуществляется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ДЗО ПАО 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Россети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»</w:t>
      </w:r>
      <w:r w:rsidRPr="009D2F9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или Заявителем по выбору последнего при заключении договора об осуществлении технологического присоединения</w:t>
      </w:r>
      <w:r w:rsidRPr="009D2F95">
        <w:rPr>
          <w:rStyle w:val="a7"/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footnoteReference w:id="23"/>
      </w:r>
      <w:r w:rsidRPr="009D2F9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14:paraId="182133CE" w14:textId="77777777" w:rsidR="00512944" w:rsidRPr="009D2F95" w:rsidRDefault="00512944" w:rsidP="00512944">
      <w:pPr>
        <w:pStyle w:val="a4"/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в ходе проектирования возникает необходимость частичного отступления от технических условий, такие отступления подлежат согласованию с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ДЗО ПАО 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Россети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»</w:t>
      </w: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АО «СО ЕЭС» (Филиалом АО «СО ЕЭС» ________) с корректировкой утвержденных технических условий</w:t>
      </w:r>
      <w:r>
        <w:rPr>
          <w:rStyle w:val="a7"/>
          <w:rFonts w:ascii="Times New Roman" w:eastAsia="Times New Roman" w:hAnsi="Times New Roman"/>
          <w:color w:val="000000"/>
          <w:sz w:val="28"/>
          <w:szCs w:val="28"/>
          <w:lang w:eastAsia="ru-RU"/>
        </w:rPr>
        <w:footnoteReference w:id="24"/>
      </w: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CCD20F4" w14:textId="77777777" w:rsidR="00512944" w:rsidRPr="009D2F95" w:rsidRDefault="00512944" w:rsidP="00512944">
      <w:pPr>
        <w:pStyle w:val="a4"/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проектировании согласно пунктам 4.1-4.3 настоящих технических условий учесть технические решения, принятые в проектах</w:t>
      </w:r>
      <w:r>
        <w:rPr>
          <w:rStyle w:val="a7"/>
          <w:rFonts w:ascii="Times New Roman" w:eastAsia="Times New Roman" w:hAnsi="Times New Roman"/>
          <w:color w:val="000000"/>
          <w:sz w:val="28"/>
          <w:szCs w:val="28"/>
          <w:lang w:eastAsia="ru-RU"/>
        </w:rPr>
        <w:footnoteReference w:id="25"/>
      </w: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476168A" w14:textId="77777777" w:rsidR="00512944" w:rsidRPr="009D2F95" w:rsidRDefault="00512944" w:rsidP="00512944">
      <w:pPr>
        <w:pStyle w:val="a4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F9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___________________________________________________________;</w:t>
      </w:r>
    </w:p>
    <w:p w14:paraId="714BAD88" w14:textId="77777777" w:rsidR="00512944" w:rsidRPr="009D2F95" w:rsidRDefault="00512944" w:rsidP="00512944">
      <w:pPr>
        <w:pStyle w:val="a4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F9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___________________________________________________________,</w:t>
      </w:r>
    </w:p>
    <w:p w14:paraId="7F4D2EEB" w14:textId="77777777" w:rsidR="00512944" w:rsidRPr="009D2F95" w:rsidRDefault="00512944" w:rsidP="00512944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F9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14:paraId="4F0DD898" w14:textId="77777777" w:rsidR="00512944" w:rsidRPr="0099313D" w:rsidRDefault="00512944" w:rsidP="00512944">
      <w:pPr>
        <w:pStyle w:val="a4"/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Провести проверку выполнения настоящих технических условий, </w:t>
      </w:r>
      <w:r w:rsidRPr="009D2F95">
        <w:rPr>
          <w:rFonts w:ascii="Times New Roman" w:hAnsi="Times New Roman" w:cs="Times New Roman"/>
          <w:color w:val="000000"/>
          <w:sz w:val="28"/>
          <w:szCs w:val="28"/>
        </w:rPr>
        <w:t>включая проведение осмотра (обследования)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электроустановок</w:t>
      </w:r>
      <w:r w:rsidRPr="009D2F9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 участием представителей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ДЗО ПАО 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Россети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Pr="00A554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АО «СО ЕЭС» (Филиала АО «СО ЕЭС» ________) (для каждого этапа, предусмотренного настоящими техническими условиями</w:t>
      </w:r>
      <w:r w:rsidRPr="0099313D">
        <w:rPr>
          <w:rFonts w:ascii="Times New Roman" w:eastAsia="Times New Roman" w:hAnsi="Times New Roman"/>
          <w:lang w:eastAsia="ru-RU"/>
        </w:rPr>
        <w:footnoteReference w:id="26"/>
      </w: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93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13B165C" w14:textId="77777777" w:rsidR="00512944" w:rsidRPr="0099313D" w:rsidRDefault="00512944" w:rsidP="00512944">
      <w:pPr>
        <w:pStyle w:val="a4"/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Получить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ДЗО ПАО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Россети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 о выполнении технических </w:t>
      </w: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условий, согласованный АО «СО ЕЭС» (Филиалом АО «СО ЕЭС» ________) (для каждого этапа, предусмотренного настоящими техническими условиями</w:t>
      </w:r>
      <w:r w:rsidRPr="0099313D">
        <w:rPr>
          <w:rFonts w:ascii="Times New Roman" w:eastAsia="Times New Roman" w:hAnsi="Times New Roman"/>
          <w:lang w:eastAsia="ru-RU"/>
        </w:rPr>
        <w:footnoteReference w:id="27"/>
      </w: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93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5215B">
        <w:t xml:space="preserve"> </w:t>
      </w:r>
      <w:r w:rsidRPr="00952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 электроустановок заявителя и объектов электросетевого хозяйства сетевой организации, построенных (реконструированных) в рамках выполнения технических условий, осуществляется сетевой организацией с участием субъекта оперативно-диспетчерского управления.</w:t>
      </w:r>
    </w:p>
    <w:p w14:paraId="32D5AAC7" w14:textId="77777777" w:rsidR="00512944" w:rsidRPr="009D2F95" w:rsidRDefault="00512944" w:rsidP="00512944">
      <w:pPr>
        <w:pStyle w:val="a4"/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Получить разрешение федерального </w:t>
      </w:r>
      <w:r w:rsidRPr="009D2F95">
        <w:rPr>
          <w:rFonts w:ascii="Times New Roman" w:hAnsi="Times New Roman" w:cs="Times New Roman"/>
          <w:color w:val="000000"/>
          <w:sz w:val="28"/>
          <w:szCs w:val="28"/>
        </w:rPr>
        <w:t>органа исполнительной власти, осуществляющего федеральный</w:t>
      </w: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государственный энергетический надзор, на допуск в эксплуатацию объектов по производству электрической энергии и объектов электросетевого хозяйства Заявителя и объектов электросетевого хозяйства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ДЗО ПАО 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Россети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»</w:t>
      </w:r>
      <w:r>
        <w:rPr>
          <w:rStyle w:val="a7"/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footnoteReference w:id="28"/>
      </w: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указанных в пунктах 1._, 1._... настоящих технических условий (для каждого этапа, предусмотренного настоящими техническими условиями</w:t>
      </w:r>
      <w:r w:rsidRPr="009D2F9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9"/>
      </w: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4A056896" w14:textId="77777777" w:rsidR="00512944" w:rsidRPr="009D2F95" w:rsidRDefault="00512944" w:rsidP="00512944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8A2998" w14:textId="77777777" w:rsidR="00512944" w:rsidRPr="009D2F95" w:rsidRDefault="00512944" w:rsidP="00512944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Приложение. Пояснительная схема присоединения объектов по производству электрической энергии Заявителя к электрическим сетям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ДЗО ПАО 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Россети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»</w:t>
      </w:r>
      <w:r w:rsidRPr="009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___ л. в 1 экз.</w:t>
      </w:r>
    </w:p>
    <w:p w14:paraId="6B6A83A8" w14:textId="77777777" w:rsidR="00512944" w:rsidRPr="005A0806" w:rsidRDefault="00512944" w:rsidP="00512944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49C342" w14:textId="77777777" w:rsidR="00512944" w:rsidRPr="005A0806" w:rsidRDefault="00512944" w:rsidP="005129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__________________________</w:t>
      </w:r>
    </w:p>
    <w:p w14:paraId="58D4A54C" w14:textId="77777777" w:rsidR="00512944" w:rsidRDefault="00512944" w:rsidP="0051294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(код города) тел./факс___________________</w:t>
      </w:r>
    </w:p>
    <w:p w14:paraId="7EC2DD6E" w14:textId="5DDC93EB" w:rsidR="00C018BC" w:rsidRDefault="00C018BC" w:rsidP="00512944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018BC" w:rsidSect="00512944">
      <w:headerReference w:type="default" r:id="rId10"/>
      <w:pgSz w:w="11906" w:h="16838"/>
      <w:pgMar w:top="426" w:right="709" w:bottom="426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4365B6" w14:textId="77777777" w:rsidR="00956426" w:rsidRDefault="00956426" w:rsidP="00493A8F">
      <w:pPr>
        <w:spacing w:after="0" w:line="240" w:lineRule="auto"/>
      </w:pPr>
      <w:r>
        <w:separator/>
      </w:r>
    </w:p>
  </w:endnote>
  <w:endnote w:type="continuationSeparator" w:id="0">
    <w:p w14:paraId="79724662" w14:textId="77777777" w:rsidR="00956426" w:rsidRDefault="00956426" w:rsidP="00493A8F">
      <w:pPr>
        <w:spacing w:after="0" w:line="240" w:lineRule="auto"/>
      </w:pPr>
      <w:r>
        <w:continuationSeparator/>
      </w:r>
    </w:p>
  </w:endnote>
  <w:endnote w:type="continuationNotice" w:id="1">
    <w:p w14:paraId="021F9F13" w14:textId="77777777" w:rsidR="00956426" w:rsidRDefault="009564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065D0C" w14:textId="77777777" w:rsidR="00956426" w:rsidRDefault="00956426" w:rsidP="00493A8F">
      <w:pPr>
        <w:spacing w:after="0" w:line="240" w:lineRule="auto"/>
      </w:pPr>
      <w:r>
        <w:separator/>
      </w:r>
    </w:p>
  </w:footnote>
  <w:footnote w:type="continuationSeparator" w:id="0">
    <w:p w14:paraId="5372DE01" w14:textId="77777777" w:rsidR="00956426" w:rsidRDefault="00956426" w:rsidP="00493A8F">
      <w:pPr>
        <w:spacing w:after="0" w:line="240" w:lineRule="auto"/>
      </w:pPr>
      <w:r>
        <w:continuationSeparator/>
      </w:r>
    </w:p>
  </w:footnote>
  <w:footnote w:type="continuationNotice" w:id="1">
    <w:p w14:paraId="5284E352" w14:textId="77777777" w:rsidR="00956426" w:rsidRDefault="00956426">
      <w:pPr>
        <w:spacing w:after="0" w:line="240" w:lineRule="auto"/>
      </w:pPr>
    </w:p>
  </w:footnote>
  <w:footnote w:id="2">
    <w:p w14:paraId="70D64B38" w14:textId="77777777" w:rsidR="00512944" w:rsidRDefault="00512944" w:rsidP="00512944">
      <w:pPr>
        <w:pStyle w:val="a5"/>
        <w:jc w:val="both"/>
      </w:pPr>
      <w:r>
        <w:rPr>
          <w:rStyle w:val="a7"/>
        </w:rPr>
        <w:footnoteRef/>
      </w:r>
      <w:r>
        <w:t xml:space="preserve"> В случае осуществления технологического присоединения объектов Заявителя по </w:t>
      </w:r>
      <w:proofErr w:type="gramStart"/>
      <w:r>
        <w:t>индивидуальному проекту</w:t>
      </w:r>
      <w:proofErr w:type="gramEnd"/>
      <w:r>
        <w:t xml:space="preserve"> об этом указывается в названии технических условий.</w:t>
      </w:r>
    </w:p>
  </w:footnote>
  <w:footnote w:id="3">
    <w:p w14:paraId="681091C9" w14:textId="77777777" w:rsidR="00512944" w:rsidRDefault="00512944" w:rsidP="00512944">
      <w:pPr>
        <w:pStyle w:val="a5"/>
        <w:jc w:val="both"/>
      </w:pPr>
      <w:r>
        <w:rPr>
          <w:rStyle w:val="a7"/>
        </w:rPr>
        <w:footnoteRef/>
      </w:r>
      <w:r>
        <w:t> </w:t>
      </w:r>
    </w:p>
  </w:footnote>
  <w:footnote w:id="4">
    <w:p w14:paraId="5EB5C254" w14:textId="77777777" w:rsidR="00512944" w:rsidRDefault="00512944" w:rsidP="00512944">
      <w:pPr>
        <w:pStyle w:val="a5"/>
        <w:jc w:val="both"/>
      </w:pPr>
      <w:r w:rsidRPr="00E20412">
        <w:rPr>
          <w:rStyle w:val="a7"/>
          <w:color w:val="000000"/>
        </w:rPr>
        <w:footnoteRef/>
      </w:r>
      <w:r>
        <w:rPr>
          <w:color w:val="000000"/>
        </w:rPr>
        <w:t> </w:t>
      </w:r>
      <w:r w:rsidRPr="00E20412">
        <w:rPr>
          <w:color w:val="000000"/>
        </w:rPr>
        <w:t>Указывается полное наименование юридического лица – Заявителя в соответствии с учредительными документами</w:t>
      </w:r>
      <w:r>
        <w:rPr>
          <w:color w:val="000000"/>
        </w:rPr>
        <w:t xml:space="preserve"> и наименование присоединяемых объектов по производству электрической энергии (электростанции)</w:t>
      </w:r>
      <w:r w:rsidRPr="00E20412">
        <w:rPr>
          <w:color w:val="000000"/>
        </w:rPr>
        <w:t>.</w:t>
      </w:r>
    </w:p>
  </w:footnote>
  <w:footnote w:id="5">
    <w:p w14:paraId="7DED0972" w14:textId="77777777" w:rsidR="00512944" w:rsidRDefault="00512944" w:rsidP="00512944">
      <w:pPr>
        <w:pStyle w:val="a5"/>
        <w:jc w:val="both"/>
      </w:pPr>
      <w:r>
        <w:rPr>
          <w:rStyle w:val="a7"/>
        </w:rPr>
        <w:footnoteRef/>
      </w:r>
      <w:r>
        <w:t> </w:t>
      </w:r>
      <w:r w:rsidRPr="00E20412">
        <w:rPr>
          <w:color w:val="000000"/>
        </w:rPr>
        <w:t>Выбирается требуемое</w:t>
      </w:r>
      <w:r>
        <w:rPr>
          <w:color w:val="000000"/>
        </w:rPr>
        <w:t>.</w:t>
      </w:r>
    </w:p>
  </w:footnote>
  <w:footnote w:id="6">
    <w:p w14:paraId="09906110" w14:textId="77777777" w:rsidR="00512944" w:rsidRDefault="00512944" w:rsidP="00512944">
      <w:pPr>
        <w:pStyle w:val="a5"/>
        <w:jc w:val="both"/>
      </w:pPr>
      <w:r>
        <w:rPr>
          <w:rStyle w:val="a7"/>
        </w:rPr>
        <w:footnoteRef/>
      </w:r>
      <w:r>
        <w:t> </w:t>
      </w:r>
      <w:r w:rsidRPr="000F301B">
        <w:t>В случае, если техническими условиями предусмотрен поэтапный ввод в работу объектов по производству электрической энергии</w:t>
      </w:r>
      <w:r w:rsidRPr="00B647CC">
        <w:t xml:space="preserve"> и/или </w:t>
      </w:r>
      <w:r w:rsidRPr="000F301B">
        <w:t xml:space="preserve">объектов электросетевого хозяйства, указывается количество этапов и максимальная мощность на каждом этапе технологического присоединения «в </w:t>
      </w:r>
      <w:r>
        <w:rPr>
          <w:lang w:val="en-US"/>
        </w:rPr>
        <w:t>N</w:t>
      </w:r>
      <w:r w:rsidRPr="000F301B">
        <w:t xml:space="preserve"> этапа (-</w:t>
      </w:r>
      <w:proofErr w:type="spellStart"/>
      <w:r w:rsidRPr="000F301B">
        <w:t>ов</w:t>
      </w:r>
      <w:proofErr w:type="spellEnd"/>
      <w:r w:rsidRPr="000F301B">
        <w:t>) (</w:t>
      </w:r>
      <w:r>
        <w:t xml:space="preserve">на </w:t>
      </w:r>
      <w:r w:rsidRPr="000F301B">
        <w:t>I этап</w:t>
      </w:r>
      <w:r>
        <w:t>е</w:t>
      </w:r>
      <w:r w:rsidRPr="000F301B">
        <w:t xml:space="preserve"> – ___ МВт, …</w:t>
      </w:r>
      <w:proofErr w:type="gramStart"/>
      <w:r w:rsidRPr="000F301B">
        <w:t xml:space="preserve"> </w:t>
      </w:r>
      <w:r>
        <w:t>,</w:t>
      </w:r>
      <w:proofErr w:type="gramEnd"/>
      <w:r>
        <w:t xml:space="preserve"> на </w:t>
      </w:r>
      <w:r>
        <w:rPr>
          <w:lang w:val="en-US"/>
        </w:rPr>
        <w:t>N</w:t>
      </w:r>
      <w:r w:rsidRPr="004D55F7">
        <w:t xml:space="preserve"> </w:t>
      </w:r>
      <w:r w:rsidRPr="000F301B">
        <w:t>этап</w:t>
      </w:r>
      <w:r>
        <w:t>е</w:t>
      </w:r>
      <w:r w:rsidRPr="000F301B">
        <w:t xml:space="preserve"> – ___ МВт</w:t>
      </w:r>
      <w:r w:rsidRPr="004D55F7">
        <w:t xml:space="preserve"> (</w:t>
      </w:r>
      <w:r>
        <w:t xml:space="preserve">с учетом максимальной мощности этапа </w:t>
      </w:r>
      <w:r>
        <w:rPr>
          <w:lang w:val="en-US"/>
        </w:rPr>
        <w:t>N</w:t>
      </w:r>
      <w:r w:rsidRPr="004D55F7">
        <w:t>-1</w:t>
      </w:r>
      <w:r>
        <w:t>)</w:t>
      </w:r>
      <w:r w:rsidRPr="000F301B">
        <w:t>)</w:t>
      </w:r>
      <w:r w:rsidRPr="00B647CC">
        <w:t>»</w:t>
      </w:r>
      <w:r w:rsidRPr="000F301B">
        <w:t>.</w:t>
      </w:r>
    </w:p>
  </w:footnote>
  <w:footnote w:id="7">
    <w:p w14:paraId="02E86607" w14:textId="77777777" w:rsidR="00512944" w:rsidRPr="000F301B" w:rsidRDefault="00512944" w:rsidP="00512944">
      <w:pPr>
        <w:pStyle w:val="a5"/>
        <w:jc w:val="both"/>
      </w:pPr>
      <w:r>
        <w:rPr>
          <w:rStyle w:val="a7"/>
        </w:rPr>
        <w:footnoteRef/>
      </w:r>
      <w:r>
        <w:t> </w:t>
      </w:r>
      <w:r w:rsidRPr="00B647CC">
        <w:t>Указывается наименование вновь сооружаемого (реконструируемого) объекта по производству электрической энергии</w:t>
      </w:r>
      <w:r w:rsidRPr="000F301B">
        <w:t>.</w:t>
      </w:r>
    </w:p>
  </w:footnote>
  <w:footnote w:id="8">
    <w:p w14:paraId="289ECB66" w14:textId="77777777" w:rsidR="00512944" w:rsidRDefault="00512944" w:rsidP="00512944">
      <w:pPr>
        <w:pStyle w:val="a5"/>
        <w:jc w:val="both"/>
      </w:pPr>
      <w:r>
        <w:rPr>
          <w:rStyle w:val="a7"/>
        </w:rPr>
        <w:footnoteRef/>
      </w:r>
      <w:r>
        <w:t> Указывается суммарная максимальная мощность в случае реконструкции существующего объекта по производству электрической энергии. В случае если до выполнения настоящих ТУ предполагается уменьшение максимальной мощности электростанции в связи с выводом из эксплуатации генерирующего оборудования или изменения (</w:t>
      </w:r>
      <w:proofErr w:type="spellStart"/>
      <w:r>
        <w:t>перемаркировки</w:t>
      </w:r>
      <w:proofErr w:type="spellEnd"/>
      <w:r>
        <w:t>) его параметров, значение максимальной мощности электростанции после выполнения настоящих ТУ указывается с учетом заявленного уменьшения максимальной мощности с указанием соответствующих оснований.</w:t>
      </w:r>
    </w:p>
  </w:footnote>
  <w:footnote w:id="9">
    <w:p w14:paraId="6EEDCC04" w14:textId="77777777" w:rsidR="00512944" w:rsidRDefault="00512944" w:rsidP="00512944">
      <w:pPr>
        <w:pStyle w:val="a5"/>
        <w:jc w:val="both"/>
      </w:pPr>
      <w:r>
        <w:rPr>
          <w:rStyle w:val="a7"/>
        </w:rPr>
        <w:footnoteRef/>
      </w:r>
      <w:r>
        <w:t> Указывается количество цифрой и прописью.</w:t>
      </w:r>
    </w:p>
  </w:footnote>
  <w:footnote w:id="10">
    <w:p w14:paraId="33B89CA1" w14:textId="77777777" w:rsidR="00512944" w:rsidRDefault="00512944" w:rsidP="00512944">
      <w:pPr>
        <w:pStyle w:val="a5"/>
        <w:jc w:val="both"/>
      </w:pPr>
      <w:r>
        <w:rPr>
          <w:rStyle w:val="a7"/>
        </w:rPr>
        <w:footnoteRef/>
      </w:r>
      <w:r>
        <w:t> В случае поэтапного ввода точки присоединения и/или распределение максимальной мощности указывается для каждого этапа осуществления технологического присоединения</w:t>
      </w:r>
      <w:r w:rsidRPr="00B647CC">
        <w:t>.</w:t>
      </w:r>
      <w:r w:rsidRPr="0095215B">
        <w:t xml:space="preserve"> </w:t>
      </w:r>
      <w:r>
        <w:t>У</w:t>
      </w:r>
      <w:r w:rsidRPr="004204C6">
        <w:t xml:space="preserve">словное распределение мощности </w:t>
      </w:r>
      <w:r>
        <w:br/>
      </w:r>
      <w:r w:rsidRPr="004204C6">
        <w:t xml:space="preserve">по точкам присоединения не указывается в случае присоединения </w:t>
      </w:r>
      <w:proofErr w:type="spellStart"/>
      <w:r w:rsidRPr="004204C6">
        <w:t>энергопринимающих</w:t>
      </w:r>
      <w:proofErr w:type="spellEnd"/>
      <w:r w:rsidRPr="004204C6">
        <w:t xml:space="preserve"> устройств </w:t>
      </w:r>
      <w:r>
        <w:br/>
      </w:r>
      <w:r w:rsidRPr="004204C6">
        <w:t>по III категории надежности по одному вводу</w:t>
      </w:r>
      <w:r>
        <w:t>.</w:t>
      </w:r>
    </w:p>
  </w:footnote>
  <w:footnote w:id="11">
    <w:p w14:paraId="4C5DAAF9" w14:textId="77777777" w:rsidR="00512944" w:rsidRDefault="00512944" w:rsidP="00512944">
      <w:pPr>
        <w:pStyle w:val="a5"/>
        <w:jc w:val="both"/>
      </w:pPr>
      <w:r w:rsidRPr="009C10C8">
        <w:rPr>
          <w:rStyle w:val="a7"/>
          <w:color w:val="000000"/>
        </w:rPr>
        <w:footnoteRef/>
      </w:r>
      <w:r>
        <w:t> </w:t>
      </w:r>
      <w:r w:rsidRPr="00E20412">
        <w:rPr>
          <w:color w:val="000000"/>
        </w:rPr>
        <w:t>Указываются мероприятия</w:t>
      </w:r>
      <w:r>
        <w:rPr>
          <w:color w:val="000000"/>
        </w:rPr>
        <w:t xml:space="preserve"> </w:t>
      </w:r>
      <w:r w:rsidRPr="00E32D4C">
        <w:rPr>
          <w:color w:val="000000"/>
        </w:rPr>
        <w:t>(при наличии этапов - с разделением по каждому этапу)</w:t>
      </w:r>
      <w:r w:rsidRPr="00E20412">
        <w:rPr>
          <w:color w:val="000000"/>
        </w:rPr>
        <w:t xml:space="preserve"> по строительству, расширению, техническому перевооружению</w:t>
      </w:r>
      <w:r>
        <w:rPr>
          <w:color w:val="000000"/>
        </w:rPr>
        <w:t xml:space="preserve"> </w:t>
      </w:r>
      <w:r w:rsidRPr="00E20412">
        <w:rPr>
          <w:color w:val="000000"/>
        </w:rPr>
        <w:t>и</w:t>
      </w:r>
      <w:r>
        <w:rPr>
          <w:color w:val="000000"/>
          <w:lang w:val="en-US"/>
        </w:rPr>
        <w:t> </w:t>
      </w:r>
      <w:r w:rsidRPr="00E20412">
        <w:rPr>
          <w:color w:val="000000"/>
        </w:rPr>
        <w:t>реконструкции объектов по производству электрической энергии и объектов электросетевого хозяйства в</w:t>
      </w:r>
      <w:r>
        <w:rPr>
          <w:color w:val="000000"/>
          <w:lang w:val="en-US"/>
        </w:rPr>
        <w:t> </w:t>
      </w:r>
      <w:r w:rsidRPr="00E20412">
        <w:rPr>
          <w:color w:val="000000"/>
        </w:rPr>
        <w:t>части основного электротехнического оборудования с приведением количества и мощности трансформаторов, схем распределительных устройств, количества ячеек, ориентировочной длины ЛЭП.</w:t>
      </w:r>
      <w:r w:rsidRPr="00AD5B8B">
        <w:rPr>
          <w:color w:val="000000"/>
        </w:rPr>
        <w:t xml:space="preserve"> </w:t>
      </w:r>
      <w:r>
        <w:rPr>
          <w:color w:val="000000"/>
        </w:rPr>
        <w:t>Также (при их наличии) у</w:t>
      </w:r>
      <w:r w:rsidRPr="00E20412">
        <w:rPr>
          <w:color w:val="000000"/>
        </w:rPr>
        <w:t xml:space="preserve">казываются мероприятия по </w:t>
      </w:r>
      <w:r>
        <w:rPr>
          <w:color w:val="000000"/>
        </w:rPr>
        <w:t>реконструкции</w:t>
      </w:r>
      <w:r w:rsidRPr="00E20412">
        <w:rPr>
          <w:color w:val="000000"/>
        </w:rPr>
        <w:t xml:space="preserve"> (</w:t>
      </w:r>
      <w:r>
        <w:rPr>
          <w:color w:val="000000"/>
        </w:rPr>
        <w:t xml:space="preserve">строительству, расширению, </w:t>
      </w:r>
      <w:r w:rsidRPr="00E20412">
        <w:rPr>
          <w:color w:val="000000"/>
        </w:rPr>
        <w:t>модернизации) объектов электросетевого хозяйства</w:t>
      </w:r>
      <w:r>
        <w:rPr>
          <w:color w:val="000000"/>
        </w:rPr>
        <w:t xml:space="preserve"> смежных сетевых организаций</w:t>
      </w:r>
      <w:r w:rsidRPr="00E20412">
        <w:rPr>
          <w:color w:val="000000"/>
        </w:rPr>
        <w:t xml:space="preserve"> и (или) строительству </w:t>
      </w:r>
      <w:r>
        <w:rPr>
          <w:color w:val="000000"/>
        </w:rPr>
        <w:t>(</w:t>
      </w:r>
      <w:r w:rsidRPr="00E20412">
        <w:rPr>
          <w:color w:val="000000"/>
        </w:rPr>
        <w:t>реконструкции</w:t>
      </w:r>
      <w:r>
        <w:rPr>
          <w:color w:val="000000"/>
        </w:rPr>
        <w:t>)</w:t>
      </w:r>
      <w:r w:rsidRPr="00E20412">
        <w:rPr>
          <w:color w:val="000000"/>
        </w:rPr>
        <w:t xml:space="preserve"> объектов по производству электрической энергии</w:t>
      </w:r>
      <w:r>
        <w:rPr>
          <w:color w:val="000000"/>
        </w:rPr>
        <w:t xml:space="preserve"> генерирующих компаний</w:t>
      </w:r>
      <w:r w:rsidRPr="00E20412">
        <w:rPr>
          <w:color w:val="000000"/>
        </w:rPr>
        <w:t xml:space="preserve">, обеспечивающие техническую возможность технологического присоединения и недопущение ухудшения условий электроснабжения присоединенных ранее </w:t>
      </w:r>
      <w:proofErr w:type="spellStart"/>
      <w:r w:rsidRPr="00E20412">
        <w:rPr>
          <w:color w:val="000000"/>
        </w:rPr>
        <w:t>энергопринимающих</w:t>
      </w:r>
      <w:proofErr w:type="spellEnd"/>
      <w:r w:rsidRPr="00E20412">
        <w:rPr>
          <w:color w:val="000000"/>
        </w:rPr>
        <w:t xml:space="preserve"> устройств и (или) объектов электроэнергетики</w:t>
      </w:r>
      <w:r>
        <w:rPr>
          <w:color w:val="000000"/>
        </w:rPr>
        <w:t>.</w:t>
      </w:r>
    </w:p>
  </w:footnote>
  <w:footnote w:id="12">
    <w:p w14:paraId="4074EE2B" w14:textId="77777777" w:rsidR="00512944" w:rsidRDefault="00512944" w:rsidP="00512944">
      <w:pPr>
        <w:pStyle w:val="a5"/>
        <w:jc w:val="both"/>
      </w:pPr>
      <w:r>
        <w:rPr>
          <w:rStyle w:val="a7"/>
        </w:rPr>
        <w:footnoteRef/>
      </w:r>
      <w:r>
        <w:t xml:space="preserve"> Требования данного абзаца распространяются на случаи реконструкции существующих объектов электросетевого хозяйства.</w:t>
      </w:r>
    </w:p>
  </w:footnote>
  <w:footnote w:id="13">
    <w:p w14:paraId="60E1CE0C" w14:textId="77777777" w:rsidR="00512944" w:rsidRDefault="00512944" w:rsidP="00512944">
      <w:pPr>
        <w:pStyle w:val="a5"/>
      </w:pPr>
      <w:r>
        <w:rPr>
          <w:rStyle w:val="a7"/>
        </w:rPr>
        <w:footnoteRef/>
      </w:r>
      <w:r>
        <w:t xml:space="preserve"> Выбирается </w:t>
      </w:r>
      <w:proofErr w:type="gramStart"/>
      <w:r>
        <w:t>требуемое</w:t>
      </w:r>
      <w:proofErr w:type="gramEnd"/>
      <w:r>
        <w:t xml:space="preserve"> в зависимости от статуса Заявителя (участник оптового или розничного рынка электрической энергии).</w:t>
      </w:r>
    </w:p>
  </w:footnote>
  <w:footnote w:id="14">
    <w:p w14:paraId="51AA87D0" w14:textId="77777777" w:rsidR="00512944" w:rsidRDefault="00512944" w:rsidP="00512944">
      <w:pPr>
        <w:pStyle w:val="a5"/>
      </w:pPr>
      <w:r>
        <w:rPr>
          <w:rStyle w:val="a7"/>
        </w:rPr>
        <w:footnoteRef/>
      </w:r>
      <w:r>
        <w:t xml:space="preserve"> Выбирается </w:t>
      </w:r>
      <w:proofErr w:type="gramStart"/>
      <w:r>
        <w:t>требуемое</w:t>
      </w:r>
      <w:proofErr w:type="gramEnd"/>
      <w:r>
        <w:t xml:space="preserve"> в зависимости от статуса Заявителя (участник оптового или розничного рынка электрической энергии).</w:t>
      </w:r>
    </w:p>
  </w:footnote>
  <w:footnote w:id="15">
    <w:p w14:paraId="16290E28" w14:textId="77777777" w:rsidR="00512944" w:rsidRPr="00790A2C" w:rsidRDefault="00512944" w:rsidP="0051294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Style w:val="a7"/>
        </w:rPr>
        <w:footnoteRef/>
      </w:r>
      <w:r>
        <w:t> </w:t>
      </w:r>
      <w:r w:rsidRPr="00790A2C">
        <w:rPr>
          <w:rFonts w:ascii="Times New Roman" w:hAnsi="Times New Roman"/>
          <w:sz w:val="20"/>
          <w:szCs w:val="20"/>
        </w:rPr>
        <w:t xml:space="preserve">Пункты 3.1.3. и 3.1.4. в вышеуказанной редакции включаются в ТУ в случае присоединения синхронных генераторов номинальной мощностью 60 МВт и выше. </w:t>
      </w:r>
    </w:p>
    <w:p w14:paraId="4010D4F8" w14:textId="77777777" w:rsidR="00512944" w:rsidRDefault="00512944" w:rsidP="00512944">
      <w:pPr>
        <w:pStyle w:val="ab"/>
        <w:spacing w:after="0"/>
        <w:ind w:firstLine="567"/>
      </w:pPr>
      <w:r>
        <w:t xml:space="preserve">В случае присоединения </w:t>
      </w:r>
      <w:r w:rsidRPr="007C1643">
        <w:t>синхронных генераторов номинальной мощностью менее 60 МВт</w:t>
      </w:r>
      <w:r>
        <w:t xml:space="preserve"> изложить пункты 3.1.3 и 3.1.4. в следующей редакции:</w:t>
      </w:r>
    </w:p>
    <w:p w14:paraId="60C71006" w14:textId="77777777" w:rsidR="00512944" w:rsidRPr="007C1643" w:rsidRDefault="00512944" w:rsidP="00512944">
      <w:pPr>
        <w:pStyle w:val="ab"/>
        <w:spacing w:after="0"/>
        <w:ind w:firstLine="709"/>
        <w:jc w:val="both"/>
      </w:pPr>
      <w:r>
        <w:t>«</w:t>
      </w:r>
      <w:r w:rsidRPr="00605CF3">
        <w:rPr>
          <w:b/>
        </w:rPr>
        <w:t>3.1.3.</w:t>
      </w:r>
      <w:r>
        <w:rPr>
          <w:b/>
        </w:rPr>
        <w:t> </w:t>
      </w:r>
      <w:r w:rsidRPr="007C1643">
        <w:t>Системы возбуждения и автоматические регуляторы возбуждения (АРВ) синхронных генераторов должны соответствовать требованиям ГОСТ 21558-2000 «Системы возбуждения турбогенераторов, гидрогенераторов и</w:t>
      </w:r>
      <w:r>
        <w:t xml:space="preserve"> </w:t>
      </w:r>
      <w:r w:rsidRPr="007C1643">
        <w:t>синхронных компенсаторов. Общие технические условия».</w:t>
      </w:r>
    </w:p>
    <w:p w14:paraId="4FBE9F87" w14:textId="77777777" w:rsidR="00512944" w:rsidRPr="007C1643" w:rsidRDefault="00512944" w:rsidP="00512944">
      <w:pPr>
        <w:pStyle w:val="ab"/>
        <w:spacing w:after="0"/>
        <w:ind w:firstLine="709"/>
        <w:jc w:val="both"/>
      </w:pPr>
      <w:r w:rsidRPr="00605CF3">
        <w:rPr>
          <w:b/>
        </w:rPr>
        <w:t>3.1.4.</w:t>
      </w:r>
      <w:r>
        <w:t xml:space="preserve"> </w:t>
      </w:r>
      <w:r w:rsidRPr="007C1643">
        <w:t>В случае оснащения генератора автоматическим регулятором возбуждения сильного действия, функциональная структура которого для улучшения демпфирования колебаний в энергосистеме имеет каналы стабилизации или системные стабилизаторы (PSS), АРВ дополнительно должен обеспечивать следующие функции:</w:t>
      </w:r>
    </w:p>
    <w:p w14:paraId="5EFAE6B7" w14:textId="77777777" w:rsidR="00512944" w:rsidRPr="005B0AAC" w:rsidRDefault="00512944" w:rsidP="00512944">
      <w:pPr>
        <w:pStyle w:val="ad"/>
        <w:numPr>
          <w:ilvl w:val="0"/>
          <w:numId w:val="36"/>
        </w:numPr>
        <w:spacing w:after="0"/>
        <w:contextualSpacing w:val="0"/>
        <w:jc w:val="both"/>
        <w:rPr>
          <w:sz w:val="20"/>
          <w:szCs w:val="20"/>
        </w:rPr>
      </w:pPr>
      <w:proofErr w:type="gramStart"/>
      <w:r w:rsidRPr="005B0AAC">
        <w:rPr>
          <w:sz w:val="20"/>
          <w:szCs w:val="20"/>
        </w:rPr>
        <w:t xml:space="preserve">демпфирование колебаний роторов синхронных генераторов в нормальных, ремонтных и послеаварийных режимах энергосистемы, исключающее самораскачивание или возникновение незатухающих колебаний в энергосистеме; </w:t>
      </w:r>
      <w:proofErr w:type="gramEnd"/>
    </w:p>
    <w:p w14:paraId="5A71F12A" w14:textId="77777777" w:rsidR="00512944" w:rsidRPr="005B0AAC" w:rsidRDefault="00512944" w:rsidP="00512944">
      <w:pPr>
        <w:pStyle w:val="ad"/>
        <w:numPr>
          <w:ilvl w:val="0"/>
          <w:numId w:val="36"/>
        </w:numPr>
        <w:spacing w:after="0"/>
        <w:contextualSpacing w:val="0"/>
        <w:jc w:val="both"/>
        <w:rPr>
          <w:sz w:val="20"/>
          <w:szCs w:val="20"/>
        </w:rPr>
      </w:pPr>
      <w:r w:rsidRPr="005B0AAC">
        <w:rPr>
          <w:sz w:val="20"/>
          <w:szCs w:val="20"/>
        </w:rPr>
        <w:t xml:space="preserve">релейную </w:t>
      </w:r>
      <w:proofErr w:type="spellStart"/>
      <w:r w:rsidRPr="005B0AAC">
        <w:rPr>
          <w:sz w:val="20"/>
          <w:szCs w:val="20"/>
        </w:rPr>
        <w:t>форсировку</w:t>
      </w:r>
      <w:proofErr w:type="spellEnd"/>
      <w:r w:rsidRPr="005B0AAC">
        <w:rPr>
          <w:sz w:val="20"/>
          <w:szCs w:val="20"/>
        </w:rPr>
        <w:t xml:space="preserve"> возбуждения, обеспечивающую увеличение напряжения возбуждения и тока возбуждения электрической машины с максимально возможной скоростью до своих потолочных значений, и имеющую настраиваемые параметры: напряжение ввода и снятия релейной </w:t>
      </w:r>
      <w:proofErr w:type="spellStart"/>
      <w:r w:rsidRPr="005B0AAC">
        <w:rPr>
          <w:sz w:val="20"/>
          <w:szCs w:val="20"/>
        </w:rPr>
        <w:t>форсировки</w:t>
      </w:r>
      <w:proofErr w:type="spellEnd"/>
      <w:r w:rsidRPr="005B0AAC">
        <w:rPr>
          <w:sz w:val="20"/>
          <w:szCs w:val="20"/>
        </w:rPr>
        <w:t xml:space="preserve"> возбуждения, время задержки на снятие релейной </w:t>
      </w:r>
      <w:proofErr w:type="spellStart"/>
      <w:r w:rsidRPr="005B0AAC">
        <w:rPr>
          <w:sz w:val="20"/>
          <w:szCs w:val="20"/>
        </w:rPr>
        <w:t>форсировки</w:t>
      </w:r>
      <w:proofErr w:type="spellEnd"/>
      <w:r w:rsidRPr="005B0AAC">
        <w:rPr>
          <w:sz w:val="20"/>
          <w:szCs w:val="20"/>
        </w:rPr>
        <w:t xml:space="preserve"> возбуждения;</w:t>
      </w:r>
    </w:p>
    <w:p w14:paraId="603DCDAB" w14:textId="77777777" w:rsidR="00512944" w:rsidRPr="005B0AAC" w:rsidRDefault="00512944" w:rsidP="00512944">
      <w:pPr>
        <w:pStyle w:val="ad"/>
        <w:numPr>
          <w:ilvl w:val="0"/>
          <w:numId w:val="36"/>
        </w:numPr>
        <w:spacing w:after="0"/>
        <w:contextualSpacing w:val="0"/>
        <w:jc w:val="both"/>
        <w:rPr>
          <w:sz w:val="20"/>
          <w:szCs w:val="20"/>
        </w:rPr>
      </w:pPr>
      <w:r w:rsidRPr="005B0AAC">
        <w:rPr>
          <w:sz w:val="20"/>
          <w:szCs w:val="20"/>
        </w:rPr>
        <w:t>блокировку каналов стабилизации или системного стабилиз</w:t>
      </w:r>
      <w:r>
        <w:rPr>
          <w:sz w:val="20"/>
          <w:szCs w:val="20"/>
        </w:rPr>
        <w:t xml:space="preserve">атора при изменении частоты со скоростью </w:t>
      </w:r>
      <w:r w:rsidRPr="005B0AAC">
        <w:rPr>
          <w:sz w:val="20"/>
          <w:szCs w:val="20"/>
        </w:rPr>
        <w:t>0.05 Гц/</w:t>
      </w:r>
      <w:proofErr w:type="gramStart"/>
      <w:r w:rsidRPr="005B0AAC">
        <w:rPr>
          <w:sz w:val="20"/>
          <w:szCs w:val="20"/>
        </w:rPr>
        <w:t>с</w:t>
      </w:r>
      <w:proofErr w:type="gramEnd"/>
      <w:r w:rsidRPr="005B0AAC">
        <w:rPr>
          <w:sz w:val="20"/>
          <w:szCs w:val="20"/>
        </w:rPr>
        <w:t xml:space="preserve"> и более;</w:t>
      </w:r>
    </w:p>
    <w:p w14:paraId="3E080B2A" w14:textId="77777777" w:rsidR="00512944" w:rsidRPr="005B0AAC" w:rsidRDefault="00512944" w:rsidP="00512944">
      <w:pPr>
        <w:pStyle w:val="ad"/>
        <w:numPr>
          <w:ilvl w:val="0"/>
          <w:numId w:val="36"/>
        </w:numPr>
        <w:spacing w:after="0"/>
        <w:contextualSpacing w:val="0"/>
        <w:jc w:val="both"/>
        <w:rPr>
          <w:sz w:val="20"/>
          <w:szCs w:val="20"/>
        </w:rPr>
      </w:pPr>
      <w:r w:rsidRPr="005B0AAC">
        <w:rPr>
          <w:sz w:val="20"/>
          <w:szCs w:val="20"/>
        </w:rPr>
        <w:t>устойчивую работу генераторов в режиме ограничения минимального возбуждения;</w:t>
      </w:r>
    </w:p>
    <w:p w14:paraId="55A10F44" w14:textId="77777777" w:rsidR="00512944" w:rsidRPr="005B0AAC" w:rsidRDefault="00512944" w:rsidP="00512944">
      <w:pPr>
        <w:pStyle w:val="ad"/>
        <w:numPr>
          <w:ilvl w:val="0"/>
          <w:numId w:val="36"/>
        </w:numPr>
        <w:spacing w:after="0"/>
        <w:contextualSpacing w:val="0"/>
        <w:jc w:val="both"/>
        <w:rPr>
          <w:sz w:val="20"/>
          <w:szCs w:val="20"/>
        </w:rPr>
      </w:pPr>
      <w:r w:rsidRPr="005B0AAC">
        <w:rPr>
          <w:sz w:val="20"/>
          <w:szCs w:val="20"/>
        </w:rPr>
        <w:t>ограничение до двукратного значения тока ротора с выдержкой времени не более 0.2 с.</w:t>
      </w:r>
    </w:p>
    <w:p w14:paraId="1ED388B5" w14:textId="77777777" w:rsidR="00512944" w:rsidRDefault="00512944" w:rsidP="00512944">
      <w:pPr>
        <w:pStyle w:val="ab"/>
        <w:spacing w:after="0"/>
        <w:ind w:firstLine="709"/>
        <w:jc w:val="both"/>
      </w:pPr>
      <w:r w:rsidRPr="005B0AAC">
        <w:t>Выполнение указанных требований должно быть подтверждено результатами испытаний. Программа испытаний должна быть согласована с АО «СО ЕЭС».</w:t>
      </w:r>
    </w:p>
  </w:footnote>
  <w:footnote w:id="16">
    <w:p w14:paraId="34305BE6" w14:textId="77777777" w:rsidR="00512944" w:rsidRDefault="00512944" w:rsidP="00512944">
      <w:pPr>
        <w:pStyle w:val="ab"/>
        <w:spacing w:after="120"/>
      </w:pPr>
      <w:r>
        <w:rPr>
          <w:rStyle w:val="a7"/>
        </w:rPr>
        <w:footnoteRef/>
      </w:r>
      <w:r>
        <w:t> Для АЭС изменить нумерацию пункта на 3.3. и изложить в следующей редакции:</w:t>
      </w:r>
    </w:p>
    <w:p w14:paraId="3E425FB8" w14:textId="77777777" w:rsidR="00512944" w:rsidRPr="000F75DF" w:rsidRDefault="00512944" w:rsidP="00512944">
      <w:pPr>
        <w:pStyle w:val="a5"/>
        <w:jc w:val="both"/>
      </w:pPr>
      <w:r w:rsidRPr="000F75DF">
        <w:rPr>
          <w:b/>
        </w:rPr>
        <w:t>«3.3.</w:t>
      </w:r>
      <w:r w:rsidRPr="000F75DF">
        <w:t> Оснастить объекты по производству электрической энергии устройствами РЗА, исключающими несинхронное включение объекта по производству электрической энергии в электрическую сеть, а также подачу несинхронного напряжения на объект по производству электрической энергии от электрических сетей».</w:t>
      </w:r>
    </w:p>
  </w:footnote>
  <w:footnote w:id="17">
    <w:p w14:paraId="135EF588" w14:textId="77777777" w:rsidR="00512944" w:rsidRPr="000F75DF" w:rsidRDefault="00512944" w:rsidP="00512944">
      <w:pPr>
        <w:pStyle w:val="a5"/>
        <w:spacing w:after="120"/>
        <w:jc w:val="both"/>
      </w:pPr>
      <w:r w:rsidRPr="000F75DF">
        <w:rPr>
          <w:rStyle w:val="a7"/>
        </w:rPr>
        <w:footnoteRef/>
      </w:r>
      <w:r w:rsidRPr="000F75DF">
        <w:t> Для ТЭС установленной мощностью менее 25 МВт и ГЭС пункт исключается, для АЭС изменить нумерацию пункта на 3.4. и изложить в следующей редакции:</w:t>
      </w:r>
    </w:p>
    <w:p w14:paraId="3CFE1429" w14:textId="77777777" w:rsidR="00512944" w:rsidRDefault="00512944" w:rsidP="00512944">
      <w:pPr>
        <w:pStyle w:val="a5"/>
        <w:spacing w:after="120"/>
        <w:jc w:val="both"/>
      </w:pPr>
      <w:r w:rsidRPr="000F75DF">
        <w:rPr>
          <w:b/>
        </w:rPr>
        <w:t>«3.4.</w:t>
      </w:r>
      <w:r w:rsidRPr="000F75DF">
        <w:t> Рассмотреть возможность выделения энергоблока №___ __________АЭС на собственные нужды электростанции действием частотной делительной автоматики</w:t>
      </w:r>
      <w:proofErr w:type="gramStart"/>
      <w:r w:rsidRPr="000F75DF">
        <w:t>.».</w:t>
      </w:r>
      <w:proofErr w:type="gramEnd"/>
    </w:p>
  </w:footnote>
  <w:footnote w:id="18">
    <w:p w14:paraId="7A5833BF" w14:textId="77777777" w:rsidR="00512944" w:rsidRDefault="00512944" w:rsidP="00512944">
      <w:pPr>
        <w:pStyle w:val="a5"/>
        <w:spacing w:after="120"/>
        <w:jc w:val="both"/>
      </w:pPr>
      <w:r>
        <w:rPr>
          <w:rStyle w:val="a7"/>
        </w:rPr>
        <w:footnoteRef/>
      </w:r>
      <w:r>
        <w:t> </w:t>
      </w:r>
      <w:r w:rsidRPr="00E20412">
        <w:rPr>
          <w:color w:val="000000"/>
        </w:rPr>
        <w:t xml:space="preserve">Указанные требования носят рекомендательный характер и могут быть исключены </w:t>
      </w:r>
      <w:proofErr w:type="gramStart"/>
      <w:r w:rsidRPr="00E20412">
        <w:rPr>
          <w:color w:val="000000"/>
        </w:rPr>
        <w:t>из</w:t>
      </w:r>
      <w:proofErr w:type="gramEnd"/>
      <w:r w:rsidRPr="00E20412">
        <w:rPr>
          <w:color w:val="000000"/>
        </w:rPr>
        <w:t xml:space="preserve"> ТУ</w:t>
      </w:r>
      <w:r>
        <w:rPr>
          <w:color w:val="000000"/>
        </w:rPr>
        <w:t>.</w:t>
      </w:r>
    </w:p>
  </w:footnote>
  <w:footnote w:id="19">
    <w:p w14:paraId="24C611D6" w14:textId="77777777" w:rsidR="00512944" w:rsidRDefault="00512944" w:rsidP="00512944">
      <w:pPr>
        <w:pStyle w:val="a5"/>
        <w:jc w:val="both"/>
      </w:pPr>
      <w:r>
        <w:rPr>
          <w:rStyle w:val="a7"/>
        </w:rPr>
        <w:footnoteRef/>
      </w:r>
      <w:r>
        <w:t> Указывается наименование вновь сооружаемого (реконструируемого) объекта по производству электрической энергии.</w:t>
      </w:r>
    </w:p>
  </w:footnote>
  <w:footnote w:id="20">
    <w:p w14:paraId="5DA70480" w14:textId="77777777" w:rsidR="00512944" w:rsidRDefault="00512944" w:rsidP="00512944">
      <w:pPr>
        <w:pStyle w:val="a5"/>
        <w:jc w:val="both"/>
      </w:pPr>
      <w:r>
        <w:rPr>
          <w:rStyle w:val="a7"/>
        </w:rPr>
        <w:footnoteRef/>
      </w:r>
      <w:r>
        <w:rPr>
          <w:color w:val="000000"/>
        </w:rPr>
        <w:t> Пун</w:t>
      </w:r>
      <w:proofErr w:type="gramStart"/>
      <w:r>
        <w:rPr>
          <w:color w:val="000000"/>
        </w:rPr>
        <w:t>кт вкл</w:t>
      </w:r>
      <w:proofErr w:type="gramEnd"/>
      <w:r>
        <w:rPr>
          <w:color w:val="000000"/>
        </w:rPr>
        <w:t>ючается в случае если при технологическом присоединения объекта по производству электрической энергии установленная мощность электрической станции составляет 500 МВт и более.</w:t>
      </w:r>
    </w:p>
  </w:footnote>
  <w:footnote w:id="21">
    <w:p w14:paraId="6B648075" w14:textId="77777777" w:rsidR="00512944" w:rsidRDefault="00512944" w:rsidP="00512944">
      <w:pPr>
        <w:pStyle w:val="a5"/>
        <w:spacing w:after="120"/>
        <w:jc w:val="both"/>
      </w:pPr>
      <w:r>
        <w:rPr>
          <w:rStyle w:val="a7"/>
        </w:rPr>
        <w:footnoteRef/>
      </w:r>
      <w:r>
        <w:t> Для ГЭС пункт</w:t>
      </w:r>
      <w:r w:rsidRPr="00790A2C">
        <w:t xml:space="preserve"> 3.</w:t>
      </w:r>
      <w:r w:rsidRPr="00A913EB">
        <w:t>7</w:t>
      </w:r>
      <w:r w:rsidRPr="00790A2C">
        <w:t xml:space="preserve">. </w:t>
      </w:r>
      <w:r>
        <w:t xml:space="preserve">необходимо исключить </w:t>
      </w:r>
      <w:proofErr w:type="gramStart"/>
      <w:r>
        <w:t>из</w:t>
      </w:r>
      <w:proofErr w:type="gramEnd"/>
      <w:r w:rsidRPr="00790A2C">
        <w:t xml:space="preserve"> ТУ</w:t>
      </w:r>
      <w:r>
        <w:t xml:space="preserve"> на ТП</w:t>
      </w:r>
      <w:r>
        <w:rPr>
          <w:color w:val="000000"/>
        </w:rPr>
        <w:t>.</w:t>
      </w:r>
    </w:p>
  </w:footnote>
  <w:footnote w:id="22">
    <w:p w14:paraId="09A1002B" w14:textId="77777777" w:rsidR="00512944" w:rsidRDefault="00512944" w:rsidP="00512944">
      <w:pPr>
        <w:pStyle w:val="a5"/>
        <w:jc w:val="both"/>
      </w:pPr>
      <w:r>
        <w:rPr>
          <w:rStyle w:val="a7"/>
        </w:rPr>
        <w:footnoteRef/>
      </w:r>
      <w:r>
        <w:t> </w:t>
      </w:r>
      <w:proofErr w:type="gramStart"/>
      <w:r>
        <w:t xml:space="preserve">Абзац добавляется в случае выполнения мероприятий, предусмотренных настоящими техническими условиями, в рамка действующей инвестиционной программы </w:t>
      </w:r>
      <w:r>
        <w:rPr>
          <w:i/>
          <w:u w:val="single"/>
        </w:rPr>
        <w:t>ДО ПАО «</w:t>
      </w:r>
      <w:proofErr w:type="spellStart"/>
      <w:r>
        <w:rPr>
          <w:i/>
          <w:u w:val="single"/>
        </w:rPr>
        <w:t>Россети</w:t>
      </w:r>
      <w:proofErr w:type="spellEnd"/>
      <w:r>
        <w:rPr>
          <w:i/>
          <w:u w:val="single"/>
        </w:rPr>
        <w:t>».</w:t>
      </w:r>
      <w:proofErr w:type="gramEnd"/>
    </w:p>
  </w:footnote>
  <w:footnote w:id="23">
    <w:p w14:paraId="0090283F" w14:textId="77777777" w:rsidR="00512944" w:rsidRDefault="00512944" w:rsidP="00512944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proofErr w:type="gramStart"/>
      <w:r>
        <w:t xml:space="preserve">Пункт применяется при заключении договора об осуществлении технологического присоединения по индивидуальному проекту в соответствии с разделом </w:t>
      </w:r>
      <w:r>
        <w:rPr>
          <w:lang w:val="en-US"/>
        </w:rPr>
        <w:t>III</w:t>
      </w:r>
      <w:r>
        <w:t xml:space="preserve"> Правил </w:t>
      </w:r>
      <w:r w:rsidRPr="00E20412">
        <w:rPr>
          <w:color w:val="000000"/>
        </w:rPr>
        <w:t>технологического присоединения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энергопринимающих</w:t>
      </w:r>
      <w:proofErr w:type="spellEnd"/>
      <w:r>
        <w:rPr>
          <w:color w:val="000000"/>
        </w:rPr>
        <w:t xml:space="preserve"> устройств потребителей электрической энергии</w:t>
      </w:r>
      <w:r w:rsidRPr="00E20412">
        <w:rPr>
          <w:color w:val="000000"/>
        </w:rPr>
        <w:t>,</w:t>
      </w:r>
      <w:r>
        <w:rPr>
          <w:color w:val="000000"/>
        </w:rPr>
        <w:t xml:space="preserve">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</w:t>
      </w:r>
      <w:r w:rsidRPr="00E20412">
        <w:rPr>
          <w:color w:val="000000"/>
        </w:rPr>
        <w:t xml:space="preserve"> утвержденных </w:t>
      </w:r>
      <w:r>
        <w:rPr>
          <w:color w:val="000000"/>
        </w:rPr>
        <w:t>п</w:t>
      </w:r>
      <w:r w:rsidRPr="00E20412">
        <w:rPr>
          <w:color w:val="000000"/>
        </w:rPr>
        <w:t>остановлением Правительства РФ от 27.12.04 № 861</w:t>
      </w:r>
      <w:r>
        <w:rPr>
          <w:color w:val="000000"/>
        </w:rPr>
        <w:t xml:space="preserve"> (далее – Правила ТП).</w:t>
      </w:r>
      <w:proofErr w:type="gramEnd"/>
    </w:p>
  </w:footnote>
  <w:footnote w:id="24">
    <w:p w14:paraId="3564BC53" w14:textId="77777777" w:rsidR="00512944" w:rsidRDefault="00512944" w:rsidP="00512944">
      <w:pPr>
        <w:pStyle w:val="a5"/>
      </w:pPr>
      <w:r>
        <w:rPr>
          <w:rStyle w:val="a7"/>
        </w:rPr>
        <w:footnoteRef/>
      </w:r>
      <w:r>
        <w:t xml:space="preserve"> В соответствии с пунктом </w:t>
      </w:r>
      <w:r w:rsidRPr="00E20412">
        <w:rPr>
          <w:color w:val="000000"/>
        </w:rPr>
        <w:t>23 Правил</w:t>
      </w:r>
      <w:r>
        <w:rPr>
          <w:color w:val="000000"/>
        </w:rPr>
        <w:t xml:space="preserve"> ТП.</w:t>
      </w:r>
    </w:p>
  </w:footnote>
  <w:footnote w:id="25">
    <w:p w14:paraId="749981E9" w14:textId="77777777" w:rsidR="00512944" w:rsidRDefault="00512944" w:rsidP="00512944">
      <w:pPr>
        <w:pStyle w:val="a5"/>
      </w:pPr>
      <w:r>
        <w:rPr>
          <w:rStyle w:val="a7"/>
        </w:rPr>
        <w:footnoteRef/>
      </w:r>
      <w:r>
        <w:t xml:space="preserve"> В</w:t>
      </w:r>
      <w:r w:rsidRPr="00483321">
        <w:t xml:space="preserve">ключается </w:t>
      </w:r>
      <w:r>
        <w:t xml:space="preserve">в случае </w:t>
      </w:r>
      <w:r w:rsidRPr="00483321">
        <w:t xml:space="preserve">необходимости </w:t>
      </w:r>
      <w:r>
        <w:t xml:space="preserve">учета </w:t>
      </w:r>
      <w:r w:rsidRPr="00483321">
        <w:t>определенн</w:t>
      </w:r>
      <w:r>
        <w:t>ых</w:t>
      </w:r>
      <w:r w:rsidRPr="00483321">
        <w:t xml:space="preserve"> проектн</w:t>
      </w:r>
      <w:r>
        <w:t>ых</w:t>
      </w:r>
      <w:r w:rsidRPr="00483321">
        <w:t xml:space="preserve"> </w:t>
      </w:r>
      <w:r>
        <w:t>р</w:t>
      </w:r>
      <w:r w:rsidRPr="00483321">
        <w:t>ешени</w:t>
      </w:r>
      <w:r>
        <w:t>й.</w:t>
      </w:r>
    </w:p>
  </w:footnote>
  <w:footnote w:id="26">
    <w:p w14:paraId="4019B112" w14:textId="77777777" w:rsidR="00512944" w:rsidRDefault="00512944" w:rsidP="00512944">
      <w:pPr>
        <w:pStyle w:val="a5"/>
        <w:jc w:val="both"/>
      </w:pPr>
      <w:r>
        <w:rPr>
          <w:rStyle w:val="a7"/>
        </w:rPr>
        <w:footnoteRef/>
      </w:r>
      <w:r>
        <w:t> Указывается в случае, если техническими условиями предусмотрено поэтапное осуществление технологического присоединения.</w:t>
      </w:r>
    </w:p>
  </w:footnote>
  <w:footnote w:id="27">
    <w:p w14:paraId="34AAC8E5" w14:textId="77777777" w:rsidR="00512944" w:rsidRDefault="00512944" w:rsidP="00512944">
      <w:pPr>
        <w:pStyle w:val="a5"/>
        <w:jc w:val="both"/>
      </w:pPr>
      <w:r>
        <w:rPr>
          <w:rStyle w:val="a7"/>
        </w:rPr>
        <w:footnoteRef/>
      </w:r>
      <w:r>
        <w:t> Указывается в случае, если техническими условиями предусмотрено поэтапное осуществление технологического присоединения.</w:t>
      </w:r>
    </w:p>
  </w:footnote>
  <w:footnote w:id="28">
    <w:p w14:paraId="16E9CC5D" w14:textId="77777777" w:rsidR="00512944" w:rsidRDefault="00512944" w:rsidP="00512944">
      <w:pPr>
        <w:pStyle w:val="a5"/>
      </w:pPr>
      <w:r>
        <w:rPr>
          <w:rStyle w:val="a7"/>
        </w:rPr>
        <w:footnoteRef/>
      </w:r>
      <w:r>
        <w:t xml:space="preserve"> </w:t>
      </w:r>
      <w:r w:rsidRPr="0021605B">
        <w:t xml:space="preserve">В </w:t>
      </w:r>
      <w:r>
        <w:t>части</w:t>
      </w:r>
      <w:r w:rsidRPr="0021605B">
        <w:t xml:space="preserve"> объектов электросетевого хозяйства сетевых организаций </w:t>
      </w:r>
      <w:r>
        <w:t xml:space="preserve">указывается только для объектов </w:t>
      </w:r>
      <w:r w:rsidRPr="0021605B">
        <w:t xml:space="preserve">классом напряжения </w:t>
      </w:r>
      <w:r>
        <w:t>свыше</w:t>
      </w:r>
      <w:r w:rsidRPr="0021605B">
        <w:t xml:space="preserve"> 20 </w:t>
      </w:r>
      <w:proofErr w:type="spellStart"/>
      <w:r w:rsidRPr="00293EC3">
        <w:t>кВ</w:t>
      </w:r>
      <w:proofErr w:type="spellEnd"/>
      <w:r w:rsidRPr="00293EC3">
        <w:t xml:space="preserve"> </w:t>
      </w:r>
      <w:r>
        <w:t>(в соответствии с пунктом 7 Правил ТП).</w:t>
      </w:r>
    </w:p>
  </w:footnote>
  <w:footnote w:id="29">
    <w:p w14:paraId="2251D717" w14:textId="77777777" w:rsidR="00512944" w:rsidRDefault="00512944" w:rsidP="00512944">
      <w:pPr>
        <w:pStyle w:val="a5"/>
        <w:jc w:val="both"/>
      </w:pPr>
      <w:r>
        <w:rPr>
          <w:rStyle w:val="a7"/>
        </w:rPr>
        <w:footnoteRef/>
      </w:r>
      <w:r>
        <w:t> Указывается в случае, если техническими условиями предусмотрено поэтапное осуществление технологического присоединения.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63803"/>
      <w:docPartObj>
        <w:docPartGallery w:val="Page Numbers (Top of Page)"/>
        <w:docPartUnique/>
      </w:docPartObj>
    </w:sdtPr>
    <w:sdtEndPr/>
    <w:sdtContent>
      <w:p w14:paraId="52C28BC2" w14:textId="4662D9DD" w:rsidR="004445AF" w:rsidRDefault="004445A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944">
          <w:rPr>
            <w:noProof/>
          </w:rPr>
          <w:t>5</w:t>
        </w:r>
        <w:r>
          <w:fldChar w:fldCharType="end"/>
        </w:r>
      </w:p>
    </w:sdtContent>
  </w:sdt>
  <w:p w14:paraId="0C786C5E" w14:textId="77777777" w:rsidR="004445AF" w:rsidRDefault="004445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7FE"/>
    <w:multiLevelType w:val="hybridMultilevel"/>
    <w:tmpl w:val="ADE6E0B6"/>
    <w:lvl w:ilvl="0" w:tplc="4D0C37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5026A"/>
    <w:multiLevelType w:val="hybridMultilevel"/>
    <w:tmpl w:val="ADE6E0B6"/>
    <w:lvl w:ilvl="0" w:tplc="4D0C37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05CB3"/>
    <w:multiLevelType w:val="multilevel"/>
    <w:tmpl w:val="79CAC3C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67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E3E21AA"/>
    <w:multiLevelType w:val="hybridMultilevel"/>
    <w:tmpl w:val="C31A3446"/>
    <w:lvl w:ilvl="0" w:tplc="ADAE78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B1CD7"/>
    <w:multiLevelType w:val="hybridMultilevel"/>
    <w:tmpl w:val="30686A36"/>
    <w:lvl w:ilvl="0" w:tplc="ADAE78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D189E"/>
    <w:multiLevelType w:val="multilevel"/>
    <w:tmpl w:val="39C0E9B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67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D5D23D8"/>
    <w:multiLevelType w:val="hybridMultilevel"/>
    <w:tmpl w:val="ADE6E0B6"/>
    <w:lvl w:ilvl="0" w:tplc="4D0C37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C5E5D"/>
    <w:multiLevelType w:val="multilevel"/>
    <w:tmpl w:val="04882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F553359"/>
    <w:multiLevelType w:val="multilevel"/>
    <w:tmpl w:val="7A6A9F92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tabs>
          <w:tab w:val="num" w:pos="1306"/>
        </w:tabs>
        <w:ind w:left="285" w:firstLine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9">
    <w:nsid w:val="1FF534DB"/>
    <w:multiLevelType w:val="hybridMultilevel"/>
    <w:tmpl w:val="05B2002A"/>
    <w:lvl w:ilvl="0" w:tplc="ADAE780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0E111C9"/>
    <w:multiLevelType w:val="hybridMultilevel"/>
    <w:tmpl w:val="930498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B10117"/>
    <w:multiLevelType w:val="hybridMultilevel"/>
    <w:tmpl w:val="5A8E6008"/>
    <w:lvl w:ilvl="0" w:tplc="4D0C37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1935FF"/>
    <w:multiLevelType w:val="hybridMultilevel"/>
    <w:tmpl w:val="74B83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DA7434"/>
    <w:multiLevelType w:val="hybridMultilevel"/>
    <w:tmpl w:val="FFAE480A"/>
    <w:lvl w:ilvl="0" w:tplc="FBDE35C0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DC8CA3D8">
      <w:start w:val="1"/>
      <w:numFmt w:val="bullet"/>
      <w:lvlText w:val="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4" w:tplc="B33CB550">
      <w:start w:val="1"/>
      <w:numFmt w:val="bullet"/>
      <w:lvlText w:val="•"/>
      <w:lvlJc w:val="left"/>
      <w:pPr>
        <w:tabs>
          <w:tab w:val="num" w:pos="5280"/>
        </w:tabs>
        <w:ind w:left="52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14">
    <w:nsid w:val="33BF5462"/>
    <w:multiLevelType w:val="hybridMultilevel"/>
    <w:tmpl w:val="ADE6E0B6"/>
    <w:lvl w:ilvl="0" w:tplc="4D0C37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16BB0"/>
    <w:multiLevelType w:val="hybridMultilevel"/>
    <w:tmpl w:val="36F4B0E8"/>
    <w:lvl w:ilvl="0" w:tplc="97AAC0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FC2317F"/>
    <w:multiLevelType w:val="hybridMultilevel"/>
    <w:tmpl w:val="ADE6E0B6"/>
    <w:lvl w:ilvl="0" w:tplc="4D0C37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4443F8"/>
    <w:multiLevelType w:val="multilevel"/>
    <w:tmpl w:val="9C48F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32"/>
        </w:tabs>
        <w:ind w:left="16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41E24456"/>
    <w:multiLevelType w:val="hybridMultilevel"/>
    <w:tmpl w:val="A9B87732"/>
    <w:lvl w:ilvl="0" w:tplc="6004DF5A">
      <w:numFmt w:val="bullet"/>
      <w:lvlText w:val="−"/>
      <w:lvlJc w:val="left"/>
      <w:pPr>
        <w:ind w:left="729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9">
    <w:nsid w:val="42F26ECD"/>
    <w:multiLevelType w:val="multilevel"/>
    <w:tmpl w:val="2E8CF5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4E417FE"/>
    <w:multiLevelType w:val="hybridMultilevel"/>
    <w:tmpl w:val="44FAA5CA"/>
    <w:lvl w:ilvl="0" w:tplc="92DA4AAC">
      <w:start w:val="1"/>
      <w:numFmt w:val="bullet"/>
      <w:lvlText w:val="-"/>
      <w:lvlJc w:val="left"/>
      <w:pPr>
        <w:ind w:left="193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1">
    <w:nsid w:val="44E972C2"/>
    <w:multiLevelType w:val="hybridMultilevel"/>
    <w:tmpl w:val="B79A213A"/>
    <w:lvl w:ilvl="0" w:tplc="ADAE780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6A26655"/>
    <w:multiLevelType w:val="hybridMultilevel"/>
    <w:tmpl w:val="09DEFD54"/>
    <w:lvl w:ilvl="0" w:tplc="15106C5C">
      <w:start w:val="1"/>
      <w:numFmt w:val="bullet"/>
      <w:lvlText w:val=""/>
      <w:lvlJc w:val="right"/>
      <w:pPr>
        <w:ind w:left="7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3564B7A"/>
    <w:multiLevelType w:val="hybridMultilevel"/>
    <w:tmpl w:val="8E608D1E"/>
    <w:lvl w:ilvl="0" w:tplc="92DA4A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0860C3"/>
    <w:multiLevelType w:val="hybridMultilevel"/>
    <w:tmpl w:val="ADE6E0B6"/>
    <w:lvl w:ilvl="0" w:tplc="4D0C37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11423A"/>
    <w:multiLevelType w:val="hybridMultilevel"/>
    <w:tmpl w:val="96582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AC257D"/>
    <w:multiLevelType w:val="multilevel"/>
    <w:tmpl w:val="39C0E9B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67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FE94593"/>
    <w:multiLevelType w:val="hybridMultilevel"/>
    <w:tmpl w:val="CD828D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2800EF1"/>
    <w:multiLevelType w:val="hybridMultilevel"/>
    <w:tmpl w:val="E0BE8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0026C9"/>
    <w:multiLevelType w:val="multilevel"/>
    <w:tmpl w:val="854411F8"/>
    <w:lvl w:ilvl="0">
      <w:start w:val="3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62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62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9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3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34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70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060" w:hanging="2160"/>
      </w:pPr>
      <w:rPr>
        <w:rFonts w:cs="Times New Roman" w:hint="default"/>
        <w:b/>
      </w:rPr>
    </w:lvl>
  </w:abstractNum>
  <w:abstractNum w:abstractNumId="30">
    <w:nsid w:val="6713000B"/>
    <w:multiLevelType w:val="hybridMultilevel"/>
    <w:tmpl w:val="C96E31F0"/>
    <w:lvl w:ilvl="0" w:tplc="6004DF5A">
      <w:numFmt w:val="bullet"/>
      <w:lvlText w:val="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317AAB"/>
    <w:multiLevelType w:val="hybridMultilevel"/>
    <w:tmpl w:val="B1E2D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34CA2"/>
    <w:multiLevelType w:val="hybridMultilevel"/>
    <w:tmpl w:val="4930340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">
    <w:nsid w:val="6B223AFA"/>
    <w:multiLevelType w:val="multilevel"/>
    <w:tmpl w:val="FE246B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747A4271"/>
    <w:multiLevelType w:val="hybridMultilevel"/>
    <w:tmpl w:val="35404F72"/>
    <w:lvl w:ilvl="0" w:tplc="6004DF5A">
      <w:numFmt w:val="bullet"/>
      <w:lvlText w:val="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D3472E"/>
    <w:multiLevelType w:val="hybridMultilevel"/>
    <w:tmpl w:val="F86A9B5A"/>
    <w:lvl w:ilvl="0" w:tplc="ADAE780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C410BE8"/>
    <w:multiLevelType w:val="hybridMultilevel"/>
    <w:tmpl w:val="BF2ED866"/>
    <w:lvl w:ilvl="0" w:tplc="A88692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>
    <w:nsid w:val="7EBE226A"/>
    <w:multiLevelType w:val="hybridMultilevel"/>
    <w:tmpl w:val="E61A033A"/>
    <w:lvl w:ilvl="0" w:tplc="ADAE78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3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33"/>
  </w:num>
  <w:num w:numId="7">
    <w:abstractNumId w:val="4"/>
  </w:num>
  <w:num w:numId="8">
    <w:abstractNumId w:val="27"/>
  </w:num>
  <w:num w:numId="9">
    <w:abstractNumId w:val="7"/>
  </w:num>
  <w:num w:numId="10">
    <w:abstractNumId w:val="23"/>
  </w:num>
  <w:num w:numId="11">
    <w:abstractNumId w:val="20"/>
  </w:num>
  <w:num w:numId="12">
    <w:abstractNumId w:val="25"/>
  </w:num>
  <w:num w:numId="13">
    <w:abstractNumId w:val="31"/>
  </w:num>
  <w:num w:numId="14">
    <w:abstractNumId w:val="9"/>
  </w:num>
  <w:num w:numId="15">
    <w:abstractNumId w:val="14"/>
  </w:num>
  <w:num w:numId="16">
    <w:abstractNumId w:val="34"/>
  </w:num>
  <w:num w:numId="17">
    <w:abstractNumId w:val="37"/>
  </w:num>
  <w:num w:numId="18">
    <w:abstractNumId w:val="24"/>
  </w:num>
  <w:num w:numId="19">
    <w:abstractNumId w:val="16"/>
  </w:num>
  <w:num w:numId="20">
    <w:abstractNumId w:val="18"/>
  </w:num>
  <w:num w:numId="21">
    <w:abstractNumId w:val="30"/>
  </w:num>
  <w:num w:numId="22">
    <w:abstractNumId w:val="6"/>
  </w:num>
  <w:num w:numId="23">
    <w:abstractNumId w:val="0"/>
  </w:num>
  <w:num w:numId="24">
    <w:abstractNumId w:val="11"/>
  </w:num>
  <w:num w:numId="25">
    <w:abstractNumId w:val="1"/>
  </w:num>
  <w:num w:numId="26">
    <w:abstractNumId w:val="35"/>
  </w:num>
  <w:num w:numId="27">
    <w:abstractNumId w:val="22"/>
  </w:num>
  <w:num w:numId="28">
    <w:abstractNumId w:val="2"/>
  </w:num>
  <w:num w:numId="29">
    <w:abstractNumId w:val="36"/>
  </w:num>
  <w:num w:numId="30">
    <w:abstractNumId w:val="26"/>
  </w:num>
  <w:num w:numId="31">
    <w:abstractNumId w:val="5"/>
  </w:num>
  <w:num w:numId="32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8" w:hanging="432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29"/>
  </w:num>
  <w:num w:numId="34">
    <w:abstractNumId w:val="32"/>
  </w:num>
  <w:num w:numId="35">
    <w:abstractNumId w:val="15"/>
  </w:num>
  <w:num w:numId="36">
    <w:abstractNumId w:val="12"/>
  </w:num>
  <w:num w:numId="37">
    <w:abstractNumId w:val="10"/>
  </w:num>
  <w:num w:numId="38">
    <w:abstractNumId w:val="13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oNotTrackFormatting/>
  <w:documentProtection w:edit="trackedChange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A75"/>
    <w:rsid w:val="00014000"/>
    <w:rsid w:val="00016450"/>
    <w:rsid w:val="00025CCD"/>
    <w:rsid w:val="00033DFA"/>
    <w:rsid w:val="00040587"/>
    <w:rsid w:val="000432EB"/>
    <w:rsid w:val="0004412F"/>
    <w:rsid w:val="00046247"/>
    <w:rsid w:val="000778A0"/>
    <w:rsid w:val="00085C2A"/>
    <w:rsid w:val="000A54EC"/>
    <w:rsid w:val="000B1C44"/>
    <w:rsid w:val="000B4C91"/>
    <w:rsid w:val="000B6EE0"/>
    <w:rsid w:val="000C1EE4"/>
    <w:rsid w:val="000D1A8E"/>
    <w:rsid w:val="000D365E"/>
    <w:rsid w:val="000D669B"/>
    <w:rsid w:val="000E0133"/>
    <w:rsid w:val="000E0EB1"/>
    <w:rsid w:val="000F6EA5"/>
    <w:rsid w:val="000F72AE"/>
    <w:rsid w:val="000F75DF"/>
    <w:rsid w:val="00105059"/>
    <w:rsid w:val="00105E33"/>
    <w:rsid w:val="00112E34"/>
    <w:rsid w:val="001141AB"/>
    <w:rsid w:val="00131730"/>
    <w:rsid w:val="00142997"/>
    <w:rsid w:val="00143B0C"/>
    <w:rsid w:val="0015522A"/>
    <w:rsid w:val="001552E3"/>
    <w:rsid w:val="0016438E"/>
    <w:rsid w:val="00165346"/>
    <w:rsid w:val="00191B65"/>
    <w:rsid w:val="001961AC"/>
    <w:rsid w:val="001B0904"/>
    <w:rsid w:val="001C3FA7"/>
    <w:rsid w:val="001C49F6"/>
    <w:rsid w:val="001C672A"/>
    <w:rsid w:val="001D177C"/>
    <w:rsid w:val="001D4FCE"/>
    <w:rsid w:val="001E1661"/>
    <w:rsid w:val="001E62B2"/>
    <w:rsid w:val="001F03BE"/>
    <w:rsid w:val="001F08A6"/>
    <w:rsid w:val="001F1E31"/>
    <w:rsid w:val="001F659C"/>
    <w:rsid w:val="002060C3"/>
    <w:rsid w:val="00214995"/>
    <w:rsid w:val="00224E06"/>
    <w:rsid w:val="00226A08"/>
    <w:rsid w:val="00236A78"/>
    <w:rsid w:val="002404B4"/>
    <w:rsid w:val="00241359"/>
    <w:rsid w:val="00243228"/>
    <w:rsid w:val="0024423C"/>
    <w:rsid w:val="002603A4"/>
    <w:rsid w:val="00267368"/>
    <w:rsid w:val="002756FA"/>
    <w:rsid w:val="00290169"/>
    <w:rsid w:val="002949A9"/>
    <w:rsid w:val="002A2832"/>
    <w:rsid w:val="002B1C0D"/>
    <w:rsid w:val="002C1078"/>
    <w:rsid w:val="002D54B1"/>
    <w:rsid w:val="002E23D3"/>
    <w:rsid w:val="002E4E67"/>
    <w:rsid w:val="002F7312"/>
    <w:rsid w:val="00300A41"/>
    <w:rsid w:val="00302EEE"/>
    <w:rsid w:val="00304E75"/>
    <w:rsid w:val="00320519"/>
    <w:rsid w:val="00321839"/>
    <w:rsid w:val="00343A2F"/>
    <w:rsid w:val="0035077C"/>
    <w:rsid w:val="003512CD"/>
    <w:rsid w:val="00364A3A"/>
    <w:rsid w:val="003725FE"/>
    <w:rsid w:val="00374083"/>
    <w:rsid w:val="00380C9A"/>
    <w:rsid w:val="00394AA9"/>
    <w:rsid w:val="003A08C8"/>
    <w:rsid w:val="003A2775"/>
    <w:rsid w:val="003A36E3"/>
    <w:rsid w:val="003A5C86"/>
    <w:rsid w:val="003B4C00"/>
    <w:rsid w:val="003C7114"/>
    <w:rsid w:val="003C7CFD"/>
    <w:rsid w:val="003D071E"/>
    <w:rsid w:val="00411524"/>
    <w:rsid w:val="00411B08"/>
    <w:rsid w:val="00413252"/>
    <w:rsid w:val="0044031C"/>
    <w:rsid w:val="00443E6C"/>
    <w:rsid w:val="004445AF"/>
    <w:rsid w:val="0044487D"/>
    <w:rsid w:val="004467F1"/>
    <w:rsid w:val="0045463B"/>
    <w:rsid w:val="0045553F"/>
    <w:rsid w:val="00461D5B"/>
    <w:rsid w:val="00487D02"/>
    <w:rsid w:val="00491E43"/>
    <w:rsid w:val="004927A6"/>
    <w:rsid w:val="00493A8F"/>
    <w:rsid w:val="004A0946"/>
    <w:rsid w:val="004A0AAB"/>
    <w:rsid w:val="004C4C8F"/>
    <w:rsid w:val="004C69FC"/>
    <w:rsid w:val="004D55F7"/>
    <w:rsid w:val="004E311C"/>
    <w:rsid w:val="004E7469"/>
    <w:rsid w:val="004F1053"/>
    <w:rsid w:val="004F5B46"/>
    <w:rsid w:val="0050201E"/>
    <w:rsid w:val="0051093D"/>
    <w:rsid w:val="00512944"/>
    <w:rsid w:val="0051400C"/>
    <w:rsid w:val="005327FF"/>
    <w:rsid w:val="005340F0"/>
    <w:rsid w:val="005346E1"/>
    <w:rsid w:val="00555C7C"/>
    <w:rsid w:val="00556A32"/>
    <w:rsid w:val="005769B1"/>
    <w:rsid w:val="00584E55"/>
    <w:rsid w:val="005915E7"/>
    <w:rsid w:val="005A0806"/>
    <w:rsid w:val="005A2F1D"/>
    <w:rsid w:val="005A5AF5"/>
    <w:rsid w:val="005B6B9C"/>
    <w:rsid w:val="005E7DCC"/>
    <w:rsid w:val="00602229"/>
    <w:rsid w:val="00607FE6"/>
    <w:rsid w:val="0061122C"/>
    <w:rsid w:val="00613C1A"/>
    <w:rsid w:val="006215C6"/>
    <w:rsid w:val="006224B1"/>
    <w:rsid w:val="00630205"/>
    <w:rsid w:val="0063407C"/>
    <w:rsid w:val="0063587F"/>
    <w:rsid w:val="00644EBE"/>
    <w:rsid w:val="00654C04"/>
    <w:rsid w:val="00664995"/>
    <w:rsid w:val="00666371"/>
    <w:rsid w:val="006724AE"/>
    <w:rsid w:val="00676346"/>
    <w:rsid w:val="00681DE1"/>
    <w:rsid w:val="00681EBF"/>
    <w:rsid w:val="00685861"/>
    <w:rsid w:val="006865FE"/>
    <w:rsid w:val="0069114C"/>
    <w:rsid w:val="006920FF"/>
    <w:rsid w:val="00695DB5"/>
    <w:rsid w:val="006A11BC"/>
    <w:rsid w:val="006A1930"/>
    <w:rsid w:val="006A28AB"/>
    <w:rsid w:val="006B2BC6"/>
    <w:rsid w:val="006C1914"/>
    <w:rsid w:val="006D6003"/>
    <w:rsid w:val="006E74D5"/>
    <w:rsid w:val="006E79AE"/>
    <w:rsid w:val="006F0ADB"/>
    <w:rsid w:val="006F39CE"/>
    <w:rsid w:val="007006E5"/>
    <w:rsid w:val="00703748"/>
    <w:rsid w:val="00706AAD"/>
    <w:rsid w:val="00707910"/>
    <w:rsid w:val="00707F90"/>
    <w:rsid w:val="00715BB7"/>
    <w:rsid w:val="007211C4"/>
    <w:rsid w:val="0073003C"/>
    <w:rsid w:val="00731040"/>
    <w:rsid w:val="0074374A"/>
    <w:rsid w:val="00745645"/>
    <w:rsid w:val="00750811"/>
    <w:rsid w:val="00757FEF"/>
    <w:rsid w:val="00762C23"/>
    <w:rsid w:val="007654B9"/>
    <w:rsid w:val="007661E5"/>
    <w:rsid w:val="00770B6B"/>
    <w:rsid w:val="007742C1"/>
    <w:rsid w:val="00790A2C"/>
    <w:rsid w:val="007A05CC"/>
    <w:rsid w:val="007B2B65"/>
    <w:rsid w:val="007B2D7F"/>
    <w:rsid w:val="007B70E8"/>
    <w:rsid w:val="007C00D4"/>
    <w:rsid w:val="007C16F1"/>
    <w:rsid w:val="007E6E0B"/>
    <w:rsid w:val="007F4614"/>
    <w:rsid w:val="007F6886"/>
    <w:rsid w:val="007F7399"/>
    <w:rsid w:val="00800777"/>
    <w:rsid w:val="00801E50"/>
    <w:rsid w:val="00802C65"/>
    <w:rsid w:val="008063B3"/>
    <w:rsid w:val="008145B9"/>
    <w:rsid w:val="00816220"/>
    <w:rsid w:val="00820B0B"/>
    <w:rsid w:val="00824C18"/>
    <w:rsid w:val="00832815"/>
    <w:rsid w:val="00832E6C"/>
    <w:rsid w:val="00834CE0"/>
    <w:rsid w:val="008442C9"/>
    <w:rsid w:val="008505BE"/>
    <w:rsid w:val="008505CD"/>
    <w:rsid w:val="00850A6D"/>
    <w:rsid w:val="008706C3"/>
    <w:rsid w:val="008744C1"/>
    <w:rsid w:val="00874CCF"/>
    <w:rsid w:val="008802AC"/>
    <w:rsid w:val="00887591"/>
    <w:rsid w:val="00891001"/>
    <w:rsid w:val="00891CD0"/>
    <w:rsid w:val="00897A66"/>
    <w:rsid w:val="008B086A"/>
    <w:rsid w:val="008C40A7"/>
    <w:rsid w:val="008D5882"/>
    <w:rsid w:val="008E6D73"/>
    <w:rsid w:val="0090103B"/>
    <w:rsid w:val="00907948"/>
    <w:rsid w:val="00907CE2"/>
    <w:rsid w:val="00911FC6"/>
    <w:rsid w:val="00922D7E"/>
    <w:rsid w:val="0092424D"/>
    <w:rsid w:val="00942ED6"/>
    <w:rsid w:val="00950619"/>
    <w:rsid w:val="0095215B"/>
    <w:rsid w:val="00956426"/>
    <w:rsid w:val="00967512"/>
    <w:rsid w:val="0097348E"/>
    <w:rsid w:val="0098377B"/>
    <w:rsid w:val="0098757F"/>
    <w:rsid w:val="0099313D"/>
    <w:rsid w:val="00993CBD"/>
    <w:rsid w:val="0099400E"/>
    <w:rsid w:val="00996746"/>
    <w:rsid w:val="00997251"/>
    <w:rsid w:val="009B3F1F"/>
    <w:rsid w:val="009B7302"/>
    <w:rsid w:val="009B7CF4"/>
    <w:rsid w:val="009C0776"/>
    <w:rsid w:val="009C0D1D"/>
    <w:rsid w:val="009C1EB1"/>
    <w:rsid w:val="009D2F95"/>
    <w:rsid w:val="009E0341"/>
    <w:rsid w:val="009F1083"/>
    <w:rsid w:val="00A12A0A"/>
    <w:rsid w:val="00A23735"/>
    <w:rsid w:val="00A32A74"/>
    <w:rsid w:val="00A373BE"/>
    <w:rsid w:val="00A4125D"/>
    <w:rsid w:val="00A45010"/>
    <w:rsid w:val="00A4736A"/>
    <w:rsid w:val="00A554AA"/>
    <w:rsid w:val="00A60488"/>
    <w:rsid w:val="00A605A5"/>
    <w:rsid w:val="00A64896"/>
    <w:rsid w:val="00A6739C"/>
    <w:rsid w:val="00A75B83"/>
    <w:rsid w:val="00A807F3"/>
    <w:rsid w:val="00A913EB"/>
    <w:rsid w:val="00A9171C"/>
    <w:rsid w:val="00A94D69"/>
    <w:rsid w:val="00AA15BB"/>
    <w:rsid w:val="00AB444E"/>
    <w:rsid w:val="00AB6F5A"/>
    <w:rsid w:val="00AD3D5D"/>
    <w:rsid w:val="00AE1A6B"/>
    <w:rsid w:val="00AE2627"/>
    <w:rsid w:val="00AF00EF"/>
    <w:rsid w:val="00B05DEB"/>
    <w:rsid w:val="00B36803"/>
    <w:rsid w:val="00B40710"/>
    <w:rsid w:val="00B427D0"/>
    <w:rsid w:val="00B44A45"/>
    <w:rsid w:val="00B460A3"/>
    <w:rsid w:val="00B5418D"/>
    <w:rsid w:val="00B66581"/>
    <w:rsid w:val="00B6787C"/>
    <w:rsid w:val="00B71815"/>
    <w:rsid w:val="00B754BD"/>
    <w:rsid w:val="00B82363"/>
    <w:rsid w:val="00B90F8E"/>
    <w:rsid w:val="00B92882"/>
    <w:rsid w:val="00B93942"/>
    <w:rsid w:val="00BA0DFE"/>
    <w:rsid w:val="00BA25A0"/>
    <w:rsid w:val="00BA642C"/>
    <w:rsid w:val="00BB5F02"/>
    <w:rsid w:val="00BC0007"/>
    <w:rsid w:val="00BD227E"/>
    <w:rsid w:val="00BD35D5"/>
    <w:rsid w:val="00BD562B"/>
    <w:rsid w:val="00BE6E37"/>
    <w:rsid w:val="00BF2C73"/>
    <w:rsid w:val="00BF557E"/>
    <w:rsid w:val="00BF5B06"/>
    <w:rsid w:val="00BF6A15"/>
    <w:rsid w:val="00BF7B04"/>
    <w:rsid w:val="00C018BC"/>
    <w:rsid w:val="00C01BBC"/>
    <w:rsid w:val="00C051C3"/>
    <w:rsid w:val="00C14A5B"/>
    <w:rsid w:val="00C151A2"/>
    <w:rsid w:val="00C2000F"/>
    <w:rsid w:val="00C24D74"/>
    <w:rsid w:val="00C32365"/>
    <w:rsid w:val="00C5124A"/>
    <w:rsid w:val="00C82DBD"/>
    <w:rsid w:val="00C83A80"/>
    <w:rsid w:val="00C90AF2"/>
    <w:rsid w:val="00C9413F"/>
    <w:rsid w:val="00CA7FB1"/>
    <w:rsid w:val="00CB51B7"/>
    <w:rsid w:val="00CC2216"/>
    <w:rsid w:val="00CC4F9E"/>
    <w:rsid w:val="00CD4A75"/>
    <w:rsid w:val="00CD4C87"/>
    <w:rsid w:val="00CE4726"/>
    <w:rsid w:val="00CF46BC"/>
    <w:rsid w:val="00D04468"/>
    <w:rsid w:val="00D144AD"/>
    <w:rsid w:val="00D3197F"/>
    <w:rsid w:val="00D32A84"/>
    <w:rsid w:val="00D41CE7"/>
    <w:rsid w:val="00D4585E"/>
    <w:rsid w:val="00D56BA6"/>
    <w:rsid w:val="00D56FDC"/>
    <w:rsid w:val="00D6690A"/>
    <w:rsid w:val="00D83756"/>
    <w:rsid w:val="00D8444C"/>
    <w:rsid w:val="00D927E0"/>
    <w:rsid w:val="00D97C24"/>
    <w:rsid w:val="00DA3134"/>
    <w:rsid w:val="00DB671A"/>
    <w:rsid w:val="00DB7A95"/>
    <w:rsid w:val="00DC0D97"/>
    <w:rsid w:val="00DC3E32"/>
    <w:rsid w:val="00DD3214"/>
    <w:rsid w:val="00DE02CF"/>
    <w:rsid w:val="00DE5E88"/>
    <w:rsid w:val="00E0526C"/>
    <w:rsid w:val="00E250B3"/>
    <w:rsid w:val="00E35D16"/>
    <w:rsid w:val="00E41D60"/>
    <w:rsid w:val="00E456F2"/>
    <w:rsid w:val="00E52B00"/>
    <w:rsid w:val="00E62EC9"/>
    <w:rsid w:val="00E64F79"/>
    <w:rsid w:val="00E731FD"/>
    <w:rsid w:val="00E77702"/>
    <w:rsid w:val="00E856BC"/>
    <w:rsid w:val="00EA53A1"/>
    <w:rsid w:val="00EA7299"/>
    <w:rsid w:val="00EA72B3"/>
    <w:rsid w:val="00EB11F5"/>
    <w:rsid w:val="00EC63B2"/>
    <w:rsid w:val="00ED18DE"/>
    <w:rsid w:val="00ED2017"/>
    <w:rsid w:val="00ED4E80"/>
    <w:rsid w:val="00ED506D"/>
    <w:rsid w:val="00EF53F3"/>
    <w:rsid w:val="00EF6626"/>
    <w:rsid w:val="00F002A4"/>
    <w:rsid w:val="00F0331C"/>
    <w:rsid w:val="00F126B3"/>
    <w:rsid w:val="00F15C31"/>
    <w:rsid w:val="00F22E50"/>
    <w:rsid w:val="00F32CB9"/>
    <w:rsid w:val="00F3540C"/>
    <w:rsid w:val="00F40755"/>
    <w:rsid w:val="00F43B93"/>
    <w:rsid w:val="00F476D5"/>
    <w:rsid w:val="00F521B6"/>
    <w:rsid w:val="00F55A5F"/>
    <w:rsid w:val="00F5724E"/>
    <w:rsid w:val="00F6642D"/>
    <w:rsid w:val="00F72A40"/>
    <w:rsid w:val="00FA76C0"/>
    <w:rsid w:val="00FC4B2C"/>
    <w:rsid w:val="00FC5060"/>
    <w:rsid w:val="00FE240E"/>
    <w:rsid w:val="00FE4ABA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760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A3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5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63407C"/>
    <w:pPr>
      <w:ind w:left="720"/>
      <w:contextualSpacing/>
    </w:pPr>
  </w:style>
  <w:style w:type="paragraph" w:styleId="a5">
    <w:name w:val="footnote text"/>
    <w:basedOn w:val="a"/>
    <w:link w:val="a6"/>
    <w:uiPriority w:val="99"/>
    <w:rsid w:val="00493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493A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493A8F"/>
    <w:rPr>
      <w:rFonts w:cs="Times New Roman"/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493A8F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93A8F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93A8F"/>
    <w:rPr>
      <w:vertAlign w:val="superscript"/>
    </w:rPr>
  </w:style>
  <w:style w:type="paragraph" w:styleId="ab">
    <w:name w:val="annotation text"/>
    <w:basedOn w:val="a"/>
    <w:link w:val="ac"/>
    <w:uiPriority w:val="99"/>
    <w:semiHidden/>
    <w:unhideWhenUsed/>
    <w:rsid w:val="005A0806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A0806"/>
    <w:rPr>
      <w:rFonts w:ascii="Times New Roman" w:hAnsi="Times New Roman"/>
      <w:sz w:val="20"/>
      <w:szCs w:val="20"/>
    </w:rPr>
  </w:style>
  <w:style w:type="paragraph" w:styleId="ad">
    <w:name w:val="List"/>
    <w:basedOn w:val="a"/>
    <w:uiPriority w:val="99"/>
    <w:unhideWhenUsed/>
    <w:rsid w:val="005A0806"/>
    <w:pPr>
      <w:spacing w:line="240" w:lineRule="auto"/>
      <w:ind w:left="283" w:hanging="283"/>
      <w:contextualSpacing/>
    </w:pPr>
    <w:rPr>
      <w:rFonts w:ascii="Times New Roman" w:hAnsi="Times New Roman"/>
      <w:sz w:val="28"/>
    </w:rPr>
  </w:style>
  <w:style w:type="table" w:styleId="ae">
    <w:name w:val="Light Shading"/>
    <w:basedOn w:val="a1"/>
    <w:uiPriority w:val="60"/>
    <w:rsid w:val="007661E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0">
    <w:name w:val="Светлая заливка1"/>
    <w:basedOn w:val="a1"/>
    <w:next w:val="ae"/>
    <w:uiPriority w:val="60"/>
    <w:rsid w:val="007661E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">
    <w:name w:val="header"/>
    <w:basedOn w:val="a"/>
    <w:link w:val="af0"/>
    <w:uiPriority w:val="99"/>
    <w:unhideWhenUsed/>
    <w:rsid w:val="00B67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6787C"/>
  </w:style>
  <w:style w:type="paragraph" w:styleId="af1">
    <w:name w:val="footer"/>
    <w:basedOn w:val="a"/>
    <w:link w:val="af2"/>
    <w:uiPriority w:val="99"/>
    <w:unhideWhenUsed/>
    <w:rsid w:val="00B67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6787C"/>
  </w:style>
  <w:style w:type="paragraph" w:styleId="af3">
    <w:name w:val="Balloon Text"/>
    <w:basedOn w:val="a"/>
    <w:link w:val="af4"/>
    <w:uiPriority w:val="99"/>
    <w:semiHidden/>
    <w:unhideWhenUsed/>
    <w:rsid w:val="00411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11B08"/>
    <w:rPr>
      <w:rFonts w:ascii="Tahoma" w:hAnsi="Tahoma" w:cs="Tahoma"/>
      <w:sz w:val="16"/>
      <w:szCs w:val="16"/>
    </w:rPr>
  </w:style>
  <w:style w:type="character" w:styleId="af5">
    <w:name w:val="annotation reference"/>
    <w:basedOn w:val="a0"/>
    <w:uiPriority w:val="99"/>
    <w:semiHidden/>
    <w:unhideWhenUsed/>
    <w:rsid w:val="0061122C"/>
    <w:rPr>
      <w:sz w:val="16"/>
      <w:szCs w:val="16"/>
    </w:rPr>
  </w:style>
  <w:style w:type="paragraph" w:styleId="af6">
    <w:name w:val="annotation subject"/>
    <w:basedOn w:val="ab"/>
    <w:next w:val="ab"/>
    <w:link w:val="af7"/>
    <w:uiPriority w:val="99"/>
    <w:semiHidden/>
    <w:unhideWhenUsed/>
    <w:rsid w:val="0061122C"/>
    <w:rPr>
      <w:rFonts w:asciiTheme="minorHAnsi" w:hAnsiTheme="minorHAnsi"/>
      <w:b/>
      <w:bCs/>
    </w:rPr>
  </w:style>
  <w:style w:type="character" w:customStyle="1" w:styleId="af7">
    <w:name w:val="Тема примечания Знак"/>
    <w:basedOn w:val="ac"/>
    <w:link w:val="af6"/>
    <w:uiPriority w:val="99"/>
    <w:semiHidden/>
    <w:rsid w:val="0061122C"/>
    <w:rPr>
      <w:rFonts w:ascii="Times New Roman" w:hAnsi="Times New Roman"/>
      <w:b/>
      <w:bCs/>
      <w:sz w:val="20"/>
      <w:szCs w:val="20"/>
    </w:rPr>
  </w:style>
  <w:style w:type="paragraph" w:styleId="af8">
    <w:name w:val="Revision"/>
    <w:hidden/>
    <w:uiPriority w:val="99"/>
    <w:semiHidden/>
    <w:rsid w:val="0061122C"/>
    <w:pPr>
      <w:spacing w:after="0" w:line="240" w:lineRule="auto"/>
    </w:pPr>
  </w:style>
  <w:style w:type="table" w:customStyle="1" w:styleId="12">
    <w:name w:val="Сетка таблицы1"/>
    <w:basedOn w:val="a1"/>
    <w:next w:val="a3"/>
    <w:uiPriority w:val="59"/>
    <w:rsid w:val="00C9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ebofficeattributevalue1">
    <w:name w:val="webofficeattributevalue1"/>
    <w:basedOn w:val="a0"/>
    <w:rsid w:val="009B7302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  <w:style w:type="paragraph" w:styleId="af9">
    <w:name w:val="Body Text Indent"/>
    <w:basedOn w:val="a"/>
    <w:link w:val="afa"/>
    <w:rsid w:val="00A913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A91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Пункт 1."/>
    <w:basedOn w:val="2"/>
    <w:qFormat/>
    <w:rsid w:val="00BD35D5"/>
    <w:pPr>
      <w:numPr>
        <w:numId w:val="39"/>
      </w:numPr>
      <w:tabs>
        <w:tab w:val="clear" w:pos="851"/>
      </w:tabs>
      <w:spacing w:before="360" w:after="240" w:line="240" w:lineRule="auto"/>
      <w:ind w:left="1620" w:hanging="360"/>
      <w:jc w:val="both"/>
    </w:pPr>
    <w:rPr>
      <w:rFonts w:ascii="Times New Roman" w:hAnsi="Times New Roman"/>
      <w:color w:val="000000" w:themeColor="text1"/>
      <w:sz w:val="28"/>
      <w:lang w:eastAsia="ru-RU"/>
    </w:rPr>
  </w:style>
  <w:style w:type="paragraph" w:customStyle="1" w:styleId="11">
    <w:name w:val="Пункт 1.1."/>
    <w:basedOn w:val="a"/>
    <w:link w:val="110"/>
    <w:qFormat/>
    <w:rsid w:val="00BD35D5"/>
    <w:pPr>
      <w:numPr>
        <w:ilvl w:val="1"/>
        <w:numId w:val="39"/>
      </w:numPr>
      <w:shd w:val="clear" w:color="auto" w:fill="FFFFFF"/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110">
    <w:name w:val="Пункт 1.1. Знак"/>
    <w:basedOn w:val="a0"/>
    <w:link w:val="11"/>
    <w:rsid w:val="00BD35D5"/>
    <w:rPr>
      <w:rFonts w:ascii="Times New Roman" w:hAnsi="Times New Roman"/>
      <w:sz w:val="2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BD35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A3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5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63407C"/>
    <w:pPr>
      <w:ind w:left="720"/>
      <w:contextualSpacing/>
    </w:pPr>
  </w:style>
  <w:style w:type="paragraph" w:styleId="a5">
    <w:name w:val="footnote text"/>
    <w:basedOn w:val="a"/>
    <w:link w:val="a6"/>
    <w:uiPriority w:val="99"/>
    <w:rsid w:val="00493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493A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493A8F"/>
    <w:rPr>
      <w:rFonts w:cs="Times New Roman"/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493A8F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93A8F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93A8F"/>
    <w:rPr>
      <w:vertAlign w:val="superscript"/>
    </w:rPr>
  </w:style>
  <w:style w:type="paragraph" w:styleId="ab">
    <w:name w:val="annotation text"/>
    <w:basedOn w:val="a"/>
    <w:link w:val="ac"/>
    <w:uiPriority w:val="99"/>
    <w:semiHidden/>
    <w:unhideWhenUsed/>
    <w:rsid w:val="005A0806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A0806"/>
    <w:rPr>
      <w:rFonts w:ascii="Times New Roman" w:hAnsi="Times New Roman"/>
      <w:sz w:val="20"/>
      <w:szCs w:val="20"/>
    </w:rPr>
  </w:style>
  <w:style w:type="paragraph" w:styleId="ad">
    <w:name w:val="List"/>
    <w:basedOn w:val="a"/>
    <w:uiPriority w:val="99"/>
    <w:unhideWhenUsed/>
    <w:rsid w:val="005A0806"/>
    <w:pPr>
      <w:spacing w:line="240" w:lineRule="auto"/>
      <w:ind w:left="283" w:hanging="283"/>
      <w:contextualSpacing/>
    </w:pPr>
    <w:rPr>
      <w:rFonts w:ascii="Times New Roman" w:hAnsi="Times New Roman"/>
      <w:sz w:val="28"/>
    </w:rPr>
  </w:style>
  <w:style w:type="table" w:styleId="ae">
    <w:name w:val="Light Shading"/>
    <w:basedOn w:val="a1"/>
    <w:uiPriority w:val="60"/>
    <w:rsid w:val="007661E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0">
    <w:name w:val="Светлая заливка1"/>
    <w:basedOn w:val="a1"/>
    <w:next w:val="ae"/>
    <w:uiPriority w:val="60"/>
    <w:rsid w:val="007661E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">
    <w:name w:val="header"/>
    <w:basedOn w:val="a"/>
    <w:link w:val="af0"/>
    <w:uiPriority w:val="99"/>
    <w:unhideWhenUsed/>
    <w:rsid w:val="00B67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6787C"/>
  </w:style>
  <w:style w:type="paragraph" w:styleId="af1">
    <w:name w:val="footer"/>
    <w:basedOn w:val="a"/>
    <w:link w:val="af2"/>
    <w:uiPriority w:val="99"/>
    <w:unhideWhenUsed/>
    <w:rsid w:val="00B67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6787C"/>
  </w:style>
  <w:style w:type="paragraph" w:styleId="af3">
    <w:name w:val="Balloon Text"/>
    <w:basedOn w:val="a"/>
    <w:link w:val="af4"/>
    <w:uiPriority w:val="99"/>
    <w:semiHidden/>
    <w:unhideWhenUsed/>
    <w:rsid w:val="00411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11B08"/>
    <w:rPr>
      <w:rFonts w:ascii="Tahoma" w:hAnsi="Tahoma" w:cs="Tahoma"/>
      <w:sz w:val="16"/>
      <w:szCs w:val="16"/>
    </w:rPr>
  </w:style>
  <w:style w:type="character" w:styleId="af5">
    <w:name w:val="annotation reference"/>
    <w:basedOn w:val="a0"/>
    <w:uiPriority w:val="99"/>
    <w:semiHidden/>
    <w:unhideWhenUsed/>
    <w:rsid w:val="0061122C"/>
    <w:rPr>
      <w:sz w:val="16"/>
      <w:szCs w:val="16"/>
    </w:rPr>
  </w:style>
  <w:style w:type="paragraph" w:styleId="af6">
    <w:name w:val="annotation subject"/>
    <w:basedOn w:val="ab"/>
    <w:next w:val="ab"/>
    <w:link w:val="af7"/>
    <w:uiPriority w:val="99"/>
    <w:semiHidden/>
    <w:unhideWhenUsed/>
    <w:rsid w:val="0061122C"/>
    <w:rPr>
      <w:rFonts w:asciiTheme="minorHAnsi" w:hAnsiTheme="minorHAnsi"/>
      <w:b/>
      <w:bCs/>
    </w:rPr>
  </w:style>
  <w:style w:type="character" w:customStyle="1" w:styleId="af7">
    <w:name w:val="Тема примечания Знак"/>
    <w:basedOn w:val="ac"/>
    <w:link w:val="af6"/>
    <w:uiPriority w:val="99"/>
    <w:semiHidden/>
    <w:rsid w:val="0061122C"/>
    <w:rPr>
      <w:rFonts w:ascii="Times New Roman" w:hAnsi="Times New Roman"/>
      <w:b/>
      <w:bCs/>
      <w:sz w:val="20"/>
      <w:szCs w:val="20"/>
    </w:rPr>
  </w:style>
  <w:style w:type="paragraph" w:styleId="af8">
    <w:name w:val="Revision"/>
    <w:hidden/>
    <w:uiPriority w:val="99"/>
    <w:semiHidden/>
    <w:rsid w:val="0061122C"/>
    <w:pPr>
      <w:spacing w:after="0" w:line="240" w:lineRule="auto"/>
    </w:pPr>
  </w:style>
  <w:style w:type="table" w:customStyle="1" w:styleId="12">
    <w:name w:val="Сетка таблицы1"/>
    <w:basedOn w:val="a1"/>
    <w:next w:val="a3"/>
    <w:uiPriority w:val="59"/>
    <w:rsid w:val="00C9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ebofficeattributevalue1">
    <w:name w:val="webofficeattributevalue1"/>
    <w:basedOn w:val="a0"/>
    <w:rsid w:val="009B7302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  <w:style w:type="paragraph" w:styleId="af9">
    <w:name w:val="Body Text Indent"/>
    <w:basedOn w:val="a"/>
    <w:link w:val="afa"/>
    <w:rsid w:val="00A913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A91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Пункт 1."/>
    <w:basedOn w:val="2"/>
    <w:qFormat/>
    <w:rsid w:val="00BD35D5"/>
    <w:pPr>
      <w:numPr>
        <w:numId w:val="39"/>
      </w:numPr>
      <w:tabs>
        <w:tab w:val="clear" w:pos="851"/>
      </w:tabs>
      <w:spacing w:before="360" w:after="240" w:line="240" w:lineRule="auto"/>
      <w:ind w:left="1620" w:hanging="360"/>
      <w:jc w:val="both"/>
    </w:pPr>
    <w:rPr>
      <w:rFonts w:ascii="Times New Roman" w:hAnsi="Times New Roman"/>
      <w:color w:val="000000" w:themeColor="text1"/>
      <w:sz w:val="28"/>
      <w:lang w:eastAsia="ru-RU"/>
    </w:rPr>
  </w:style>
  <w:style w:type="paragraph" w:customStyle="1" w:styleId="11">
    <w:name w:val="Пункт 1.1."/>
    <w:basedOn w:val="a"/>
    <w:link w:val="110"/>
    <w:qFormat/>
    <w:rsid w:val="00BD35D5"/>
    <w:pPr>
      <w:numPr>
        <w:ilvl w:val="1"/>
        <w:numId w:val="39"/>
      </w:numPr>
      <w:shd w:val="clear" w:color="auto" w:fill="FFFFFF"/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110">
    <w:name w:val="Пункт 1.1. Знак"/>
    <w:basedOn w:val="a0"/>
    <w:link w:val="11"/>
    <w:rsid w:val="00BD35D5"/>
    <w:rPr>
      <w:rFonts w:ascii="Times New Roman" w:hAnsi="Times New Roman"/>
      <w:sz w:val="2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BD35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F8625-EAF5-4F71-857D-F228BE11BD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223BF8-FD8F-478C-A7D6-FDBDBE10B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2127</Words>
  <Characters>12126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Корнеев А.Ю.</dc:creator>
  <cp:lastModifiedBy>Захарченко Ирина Васильевна</cp:lastModifiedBy>
  <cp:revision>6</cp:revision>
  <cp:lastPrinted>2013-12-30T09:27:00Z</cp:lastPrinted>
  <dcterms:created xsi:type="dcterms:W3CDTF">2017-12-22T11:52:00Z</dcterms:created>
  <dcterms:modified xsi:type="dcterms:W3CDTF">2020-01-27T07:45:00Z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OwnerUserId">
    <vt:lpwstr>KorneevAY</vt:lpwstr>
  </property>
  <property fmtid="{D5CDD505-2E9C-101B-9397-08002B2CF9AE}" pid="3" name="CustomObjectId">
    <vt:lpwstr>0900005a80ead2a1</vt:lpwstr>
  </property>
  <property fmtid="{D5CDD505-2E9C-101B-9397-08002B2CF9AE}" pid="4" name="CustomServerURL">
    <vt:lpwstr>http://172.17.101.97:7777/asud_hmrsk/doc-upload</vt:lpwstr>
  </property>
  <property fmtid="{D5CDD505-2E9C-101B-9397-08002B2CF9AE}" pid="5" name="CustomUserId">
    <vt:lpwstr>KorneevAY</vt:lpwstr>
  </property>
  <property fmtid="{D5CDD505-2E9C-101B-9397-08002B2CF9AE}" pid="6" name="CustomObjectState">
    <vt:lpwstr>180939569</vt:lpwstr>
  </property>
  <property fmtid="{D5CDD505-2E9C-101B-9397-08002B2CF9AE}" pid="7" name="localFileProperties">
    <vt:lpwstr>CHERNOV-MV1.chernov_mv.C:\Users\CHERNO~1\AppData\Local\Temp\AsudCheckout\0900005a80ead2a1\ПРИКАЗ_ПО_ТП_сентябрь_2013.docx.docm</vt:lpwstr>
  </property>
</Properties>
</file>